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22" w:rsidRDefault="00847E22">
      <w:pPr>
        <w:pStyle w:val="Titel"/>
      </w:pPr>
      <w:r>
        <w:t>Auszug aus dem Teilzeit- und Befristungsgesetz</w:t>
      </w:r>
    </w:p>
    <w:p w:rsidR="00847E22" w:rsidRDefault="00847E22">
      <w:pPr>
        <w:jc w:val="center"/>
        <w:rPr>
          <w:b/>
        </w:rPr>
      </w:pPr>
    </w:p>
    <w:p w:rsidR="00847E22" w:rsidRDefault="00847E22">
      <w:pPr>
        <w:jc w:val="center"/>
        <w:rPr>
          <w:b/>
        </w:rPr>
      </w:pPr>
    </w:p>
    <w:p w:rsidR="00847E22" w:rsidRDefault="00847E22">
      <w:pPr>
        <w:jc w:val="center"/>
        <w:rPr>
          <w:b/>
        </w:rPr>
      </w:pPr>
      <w:r>
        <w:rPr>
          <w:b/>
        </w:rPr>
        <w:t>Dritter Abschnitt</w:t>
      </w:r>
    </w:p>
    <w:p w:rsidR="00847E22" w:rsidRDefault="00847E22">
      <w:pPr>
        <w:jc w:val="center"/>
        <w:rPr>
          <w:b/>
        </w:rPr>
      </w:pPr>
      <w:r>
        <w:rPr>
          <w:b/>
        </w:rPr>
        <w:t>Befristete Arbeitsverträge</w:t>
      </w:r>
    </w:p>
    <w:p w:rsidR="00847E22" w:rsidRDefault="00847E22">
      <w:pPr>
        <w:jc w:val="center"/>
        <w:rPr>
          <w:b/>
        </w:rPr>
      </w:pPr>
    </w:p>
    <w:p w:rsidR="00847E22" w:rsidRDefault="00847E22">
      <w:pPr>
        <w:jc w:val="center"/>
      </w:pPr>
      <w:r>
        <w:t>§ 14</w:t>
      </w:r>
    </w:p>
    <w:p w:rsidR="00847E22" w:rsidRDefault="00847E22">
      <w:pPr>
        <w:jc w:val="center"/>
      </w:pPr>
      <w:r>
        <w:t>Zulässigkeit der Befristung</w:t>
      </w:r>
    </w:p>
    <w:p w:rsidR="00847E22" w:rsidRDefault="00847E22">
      <w:pPr>
        <w:jc w:val="center"/>
      </w:pPr>
    </w:p>
    <w:p w:rsidR="00847E22" w:rsidRDefault="00847E22">
      <w:pPr>
        <w:jc w:val="center"/>
      </w:pPr>
    </w:p>
    <w:p w:rsidR="00847E22" w:rsidRDefault="00847E22" w:rsidP="003B2959">
      <w:pPr>
        <w:jc w:val="both"/>
      </w:pPr>
      <w:r>
        <w:t xml:space="preserve">(1)  Die Befristung eines Arbeitsvertrages ist zulässig, wenn sie durch einen sachlichen Grund gerechtfertigt ist. Ein sachlicher Grund liegt insbesondere vor, wenn </w:t>
      </w:r>
    </w:p>
    <w:p w:rsidR="00847E22" w:rsidRDefault="00847E22"/>
    <w:p w:rsidR="00847E22" w:rsidRDefault="00847E22">
      <w:pPr>
        <w:numPr>
          <w:ilvl w:val="0"/>
          <w:numId w:val="2"/>
        </w:numPr>
      </w:pPr>
      <w:r>
        <w:t>der betriebliche Bedarf an der Arbeitsleistung nur vorübergehend besteht,</w:t>
      </w:r>
      <w:r>
        <w:br/>
      </w:r>
    </w:p>
    <w:p w:rsidR="00847E22" w:rsidRDefault="00847E22">
      <w:pPr>
        <w:numPr>
          <w:ilvl w:val="0"/>
          <w:numId w:val="2"/>
        </w:numPr>
        <w:tabs>
          <w:tab w:val="clear" w:pos="564"/>
          <w:tab w:val="left" w:pos="567"/>
        </w:tabs>
      </w:pPr>
      <w:r>
        <w:t>die Befristung im Anschluss an eine Ausbildung oder ein Studium erfolgt, um den Über</w:t>
      </w:r>
      <w:r w:rsidR="003E5E97">
        <w:softHyphen/>
      </w:r>
      <w:r>
        <w:t>gang des Arbeitnehmers in eine Anschlussbeschäftigung zu erleichtern,</w:t>
      </w:r>
      <w:r>
        <w:br/>
      </w:r>
    </w:p>
    <w:p w:rsidR="00847E22" w:rsidRDefault="00847E22">
      <w:pPr>
        <w:numPr>
          <w:ilvl w:val="0"/>
          <w:numId w:val="2"/>
        </w:numPr>
        <w:tabs>
          <w:tab w:val="clear" w:pos="564"/>
          <w:tab w:val="left" w:pos="567"/>
        </w:tabs>
      </w:pPr>
      <w:r>
        <w:t>der Arbeitnehmer zur Vertretung eines anderen Arbeitnehmers beschäftigt wird,</w:t>
      </w:r>
      <w:r>
        <w:br/>
      </w:r>
    </w:p>
    <w:p w:rsidR="00847E22" w:rsidRDefault="00847E22">
      <w:pPr>
        <w:numPr>
          <w:ilvl w:val="0"/>
          <w:numId w:val="2"/>
        </w:numPr>
        <w:tabs>
          <w:tab w:val="clear" w:pos="564"/>
          <w:tab w:val="left" w:pos="567"/>
        </w:tabs>
      </w:pPr>
      <w:r>
        <w:t>die Eigenart der Arbeitsleistung die Befristung rechtfertigt,</w:t>
      </w:r>
      <w:r>
        <w:br/>
      </w:r>
    </w:p>
    <w:p w:rsidR="00847E22" w:rsidRDefault="00847E22">
      <w:pPr>
        <w:numPr>
          <w:ilvl w:val="0"/>
          <w:numId w:val="2"/>
        </w:numPr>
        <w:tabs>
          <w:tab w:val="clear" w:pos="564"/>
          <w:tab w:val="left" w:pos="567"/>
        </w:tabs>
      </w:pPr>
      <w:r>
        <w:t>die Befristung zur Erprobung erfolgt,</w:t>
      </w:r>
      <w:r>
        <w:br/>
      </w:r>
    </w:p>
    <w:p w:rsidR="00847E22" w:rsidRDefault="00847E22">
      <w:pPr>
        <w:numPr>
          <w:ilvl w:val="0"/>
          <w:numId w:val="2"/>
        </w:numPr>
        <w:tabs>
          <w:tab w:val="clear" w:pos="564"/>
          <w:tab w:val="left" w:pos="567"/>
        </w:tabs>
      </w:pPr>
      <w:r>
        <w:t>in der Person des Arbeitnehmers liegende Gründe die Befristung rechtfertigen,</w:t>
      </w:r>
      <w:r>
        <w:br/>
      </w:r>
    </w:p>
    <w:p w:rsidR="00847E22" w:rsidRDefault="00847E22">
      <w:pPr>
        <w:numPr>
          <w:ilvl w:val="0"/>
          <w:numId w:val="2"/>
        </w:numPr>
        <w:tabs>
          <w:tab w:val="clear" w:pos="564"/>
          <w:tab w:val="left" w:pos="567"/>
        </w:tabs>
      </w:pPr>
      <w:r>
        <w:t>der Arbeitnehmer aus Haushaltsmitteln vergütet wird, die haushaltsrechtlich für eine befristete Beschäftigung bestimmt sind, und er entsprechend beschäftigt wird oder</w:t>
      </w:r>
      <w:r>
        <w:br/>
      </w:r>
    </w:p>
    <w:p w:rsidR="00847E22" w:rsidRDefault="00847E22">
      <w:pPr>
        <w:numPr>
          <w:ilvl w:val="0"/>
          <w:numId w:val="2"/>
        </w:numPr>
        <w:tabs>
          <w:tab w:val="clear" w:pos="564"/>
          <w:tab w:val="left" w:pos="567"/>
        </w:tabs>
      </w:pPr>
      <w:r>
        <w:t>die Befristung auf einem gerichtlichen Vergleich beruht.</w:t>
      </w:r>
    </w:p>
    <w:p w:rsidR="00847E22" w:rsidRDefault="00847E22">
      <w:pPr>
        <w:tabs>
          <w:tab w:val="left" w:pos="567"/>
        </w:tabs>
      </w:pPr>
    </w:p>
    <w:p w:rsidR="00847E22" w:rsidRDefault="00847E22" w:rsidP="003B2959">
      <w:pPr>
        <w:tabs>
          <w:tab w:val="left" w:pos="567"/>
        </w:tabs>
        <w:jc w:val="both"/>
      </w:pPr>
      <w:r>
        <w:t>(2)  Die kalendermäßige Befristung eines Arbeitsvertrages ohne Vorliegen eines sachli</w:t>
      </w:r>
      <w:r>
        <w:softHyphen/>
        <w:t>chen Grundes ist bis zur Dauer von zwei Jahren zulässig; bis zu dieser Gesamtdauer von zwei Jahren ist auch die höchstens dreimalige Verlängerung eines kalendermäßig befriste</w:t>
      </w:r>
      <w:r>
        <w:softHyphen/>
        <w:t>ten Arbeitsvertrages zulässig. Eine Befristung nach Satz 1 ist nicht zulässig, wenn mit dem</w:t>
      </w:r>
      <w:r>
        <w:softHyphen/>
        <w:t>sel</w:t>
      </w:r>
      <w:r>
        <w:softHyphen/>
        <w:t>ben Arbeitgeber bereits zuvor ein befristetes oder unbefristetes Arbeitsverhältnis bestan</w:t>
      </w:r>
      <w:r>
        <w:softHyphen/>
        <w:t>den hat. Durch Tarifvertrag kann die Anzahl der Verlängerungen oder die Höchstdauer der Be</w:t>
      </w:r>
      <w:r>
        <w:softHyphen/>
        <w:t>fristung abweichend von Satz 1 festgelegt werden. Im Geltungsbereich eines solchen Ta</w:t>
      </w:r>
      <w:r>
        <w:softHyphen/>
        <w:t>rifvertrages können nicht tarifgebundene Arbeitgeber und Arbeitnehmer die Anwendung der tariflichen Regelungen vereinbaren.</w:t>
      </w:r>
    </w:p>
    <w:p w:rsidR="00FE451D" w:rsidRDefault="00FE451D">
      <w:pPr>
        <w:tabs>
          <w:tab w:val="left" w:pos="567"/>
        </w:tabs>
      </w:pPr>
    </w:p>
    <w:p w:rsidR="00847E22" w:rsidRDefault="00FE451D">
      <w:pPr>
        <w:tabs>
          <w:tab w:val="left" w:pos="567"/>
        </w:tabs>
      </w:pPr>
      <w:r>
        <w:t>(2 a) (Nicht abgedruckt)</w:t>
      </w:r>
    </w:p>
    <w:p w:rsidR="00FE451D" w:rsidRDefault="00FE451D">
      <w:pPr>
        <w:tabs>
          <w:tab w:val="left" w:pos="567"/>
        </w:tabs>
      </w:pPr>
    </w:p>
    <w:p w:rsidR="00847E22" w:rsidRDefault="00847E22">
      <w:pPr>
        <w:jc w:val="both"/>
      </w:pPr>
      <w:r>
        <w:t xml:space="preserve">(3)  Die </w:t>
      </w:r>
      <w:r w:rsidR="00FA6059">
        <w:t xml:space="preserve">kalendermäßige </w:t>
      </w:r>
      <w:r>
        <w:t>Befristung eines Arbeitsvertrages</w:t>
      </w:r>
      <w:r w:rsidR="00FA6059">
        <w:t xml:space="preserve"> ohne Vorliegen </w:t>
      </w:r>
      <w:r>
        <w:t>eines sachlichen Grundes</w:t>
      </w:r>
      <w:r w:rsidR="00FA6059">
        <w:t xml:space="preserve"> ist bis zu einer Dauer von fünf Jahren zulässig</w:t>
      </w:r>
      <w:r>
        <w:t>, wenn der Ar</w:t>
      </w:r>
      <w:r>
        <w:softHyphen/>
        <w:t>beitnehmer bei Beginn des befrist</w:t>
      </w:r>
      <w:r w:rsidR="00FA6059">
        <w:t>eten Arbeitsverhältnisses das 52</w:t>
      </w:r>
      <w:r>
        <w:t>. Lebensjahr vollendet hat</w:t>
      </w:r>
      <w:r w:rsidR="00FA6059">
        <w:t xml:space="preserve"> und unmittelbar vor Beginn des befristeten Arbeitsverhältnisses mindestens vier Monate beschäftigungslos im Sinne des § </w:t>
      </w:r>
      <w:r w:rsidR="008A47CA">
        <w:t>138</w:t>
      </w:r>
      <w:r w:rsidR="00FA6059">
        <w:t xml:space="preserve"> Abs. 1 Nr. 1 des Dritten Buches Sozialgesetzbuch gewesen ist</w:t>
      </w:r>
      <w:r w:rsidR="008A47CA">
        <w:t>,</w:t>
      </w:r>
      <w:r w:rsidR="00FA6059">
        <w:t xml:space="preserve"> </w:t>
      </w:r>
      <w:proofErr w:type="spellStart"/>
      <w:r w:rsidR="00FA6059">
        <w:t>Transfer</w:t>
      </w:r>
      <w:r w:rsidR="003E5E97">
        <w:softHyphen/>
      </w:r>
      <w:r w:rsidR="00FA6059">
        <w:t>kurzarbeitergeld</w:t>
      </w:r>
      <w:proofErr w:type="spellEnd"/>
      <w:r w:rsidR="00FA6059">
        <w:t xml:space="preserve"> bezogen oder an einer öffentlich geförderten Beschäftigungsmaßnahme nach dem Zweiten oder </w:t>
      </w:r>
      <w:proofErr w:type="spellStart"/>
      <w:r w:rsidR="00FA6059">
        <w:t>Dritten</w:t>
      </w:r>
      <w:proofErr w:type="spellEnd"/>
      <w:r w:rsidR="00FA6059">
        <w:t xml:space="preserve"> Buch Sozialgesetzbuch teilgenommen hat. Bis zu der </w:t>
      </w:r>
      <w:proofErr w:type="spellStart"/>
      <w:r w:rsidR="00FA6059">
        <w:t>Ge</w:t>
      </w:r>
      <w:r w:rsidR="003E5E97">
        <w:softHyphen/>
      </w:r>
      <w:r w:rsidR="00FA6059">
        <w:t>samtdauer</w:t>
      </w:r>
      <w:proofErr w:type="spellEnd"/>
      <w:r w:rsidR="00FA6059">
        <w:t xml:space="preserve"> von fünf Jahren ist auch die mehrfache Verlängerung des Arbeitsvertrages zuläs</w:t>
      </w:r>
      <w:r w:rsidR="003E5E97">
        <w:softHyphen/>
      </w:r>
      <w:r w:rsidR="00FA6059">
        <w:t>sig</w:t>
      </w:r>
      <w:r>
        <w:t xml:space="preserve">. </w:t>
      </w:r>
    </w:p>
    <w:p w:rsidR="00CA1932" w:rsidRDefault="00CA1932">
      <w:pPr>
        <w:jc w:val="both"/>
      </w:pPr>
    </w:p>
    <w:p w:rsidR="00847E22" w:rsidRDefault="00847E22">
      <w:pPr>
        <w:numPr>
          <w:ilvl w:val="0"/>
          <w:numId w:val="8"/>
        </w:numPr>
        <w:jc w:val="both"/>
      </w:pPr>
      <w:r>
        <w:t xml:space="preserve"> Die Befristung eines Arbeitsvertrages bedarf zu ihrer Wirksamkeit der Schriftform.</w:t>
      </w:r>
    </w:p>
    <w:p w:rsidR="00847E22" w:rsidRDefault="00847E22">
      <w:pPr>
        <w:jc w:val="center"/>
      </w:pPr>
      <w:r>
        <w:br w:type="page"/>
      </w:r>
      <w:r>
        <w:lastRenderedPageBreak/>
        <w:t>§ 15</w:t>
      </w:r>
    </w:p>
    <w:p w:rsidR="00847E22" w:rsidRDefault="00847E22">
      <w:pPr>
        <w:jc w:val="center"/>
      </w:pPr>
      <w:r>
        <w:t>Ende des befristeten Arbeitsvertrages</w:t>
      </w:r>
    </w:p>
    <w:p w:rsidR="00847E22" w:rsidRDefault="00847E22" w:rsidP="003B2959">
      <w:pPr>
        <w:jc w:val="both"/>
      </w:pPr>
    </w:p>
    <w:p w:rsidR="00847E22" w:rsidRDefault="00847E22" w:rsidP="003B2959">
      <w:pPr>
        <w:jc w:val="both"/>
      </w:pPr>
      <w:r>
        <w:t>(1)  Ein kalendermäßig befristeter Arbeitsvertrag endet mit Ablauf der vereinbarten Zeit.</w:t>
      </w:r>
    </w:p>
    <w:p w:rsidR="00847E22" w:rsidRDefault="00847E22" w:rsidP="003B2959">
      <w:pPr>
        <w:jc w:val="both"/>
      </w:pPr>
    </w:p>
    <w:p w:rsidR="00847E22" w:rsidRDefault="00847E22" w:rsidP="003B2959">
      <w:pPr>
        <w:jc w:val="both"/>
      </w:pPr>
      <w:r>
        <w:t>(2)  Ein zweckbefristeter Arbeitsvertrag endet mit Erreichen des Zwecks, frühestens jedoch zwei Wochen nach Zugang der schriftlichen Unterrichtung des Arbeitnehmers durch den Ar</w:t>
      </w:r>
      <w:r>
        <w:softHyphen/>
        <w:t>beitgeber über den Zeitpunkt der Zweckerreichung.</w:t>
      </w:r>
    </w:p>
    <w:p w:rsidR="00847E22" w:rsidRDefault="00847E22" w:rsidP="003B2959">
      <w:pPr>
        <w:jc w:val="both"/>
      </w:pPr>
    </w:p>
    <w:p w:rsidR="00847E22" w:rsidRDefault="00847E22" w:rsidP="003B2959">
      <w:pPr>
        <w:jc w:val="both"/>
      </w:pPr>
      <w:r>
        <w:t>(3)  Ein befristetes Arbeitsverhältnis unterliegt nur dann der ordentlichen Kündigung, wenn dies einzelvertraglich oder im anwendbaren Tarifvertrag vereinbart ist.</w:t>
      </w:r>
    </w:p>
    <w:p w:rsidR="00847E22" w:rsidRDefault="00847E22" w:rsidP="003B2959">
      <w:pPr>
        <w:jc w:val="both"/>
      </w:pPr>
    </w:p>
    <w:p w:rsidR="00847E22" w:rsidRDefault="00847E22" w:rsidP="003B2959">
      <w:pPr>
        <w:jc w:val="both"/>
      </w:pPr>
      <w:r>
        <w:t>(4)  Ist das Arbeitsverhältnis für die Lebenszeit einer Person oder für längere Zeit als fünf Jahre eingegangen, so kann es von dem Arbeitnehmer nach Ablauf von fünf Jahren gekün</w:t>
      </w:r>
      <w:r>
        <w:softHyphen/>
        <w:t>digt werden. Die Kündigungsfrist beträgt sechs Monate.</w:t>
      </w:r>
    </w:p>
    <w:p w:rsidR="00847E22" w:rsidRDefault="00847E22" w:rsidP="003B2959">
      <w:pPr>
        <w:jc w:val="both"/>
      </w:pPr>
    </w:p>
    <w:p w:rsidR="00847E22" w:rsidRDefault="00847E22" w:rsidP="003B2959">
      <w:pPr>
        <w:jc w:val="both"/>
      </w:pPr>
      <w:r>
        <w:t>(5)  Wird das Arbeitsverhältnis nach Ablauf der Zeit, für die es eingegangen ist, oder nach Zweckerreichung mit Wissen des Arbeitgebers fortgesetzt, so gilt es als auf unbestimmte Zeit verlängert, wenn der Arbeitgeber nicht unverzüglich widerspricht oder dem Arbeitnehmer die Zweckerreichung nicht unverzüglich mitteilt.</w:t>
      </w:r>
    </w:p>
    <w:p w:rsidR="00847E22" w:rsidRDefault="00847E22"/>
    <w:p w:rsidR="00847E22" w:rsidRDefault="00847E22"/>
    <w:p w:rsidR="00847E22" w:rsidRDefault="00847E22">
      <w:pPr>
        <w:jc w:val="center"/>
      </w:pPr>
      <w:r>
        <w:t>§ 16</w:t>
      </w:r>
    </w:p>
    <w:p w:rsidR="00847E22" w:rsidRDefault="00847E22">
      <w:pPr>
        <w:jc w:val="center"/>
      </w:pPr>
      <w:r>
        <w:t>Folgen unwirksamer Befristung</w:t>
      </w:r>
    </w:p>
    <w:p w:rsidR="00847E22" w:rsidRDefault="00847E22"/>
    <w:p w:rsidR="00847E22" w:rsidRDefault="00847E22"/>
    <w:p w:rsidR="00847E22" w:rsidRDefault="00847E22" w:rsidP="003B2959">
      <w:pPr>
        <w:jc w:val="both"/>
      </w:pPr>
      <w:r>
        <w:t>Ist die Befristung rechtsunwirksam, so gilt der befristete Arbeitsvertrag als auf unbestimmte Zeit geschlossen; er kann vom Arbeitgeber frühestens zum vereinbarten Ende ordentlich gekündigt werden, sofern nicht nach § 15 Abs. 3 die ordentliche Kündigung zu einem frühe</w:t>
      </w:r>
      <w:r>
        <w:softHyphen/>
        <w:t>ren Zeitpunkt möglich ist. Ist die Befristung nur wegen des Mangels der Schriftform unwirk</w:t>
      </w:r>
      <w:r>
        <w:softHyphen/>
        <w:t>sam, kann der Arbeitsvertrag auch vor dem vereinbarten Ende ordentlich gekündigt werden.</w:t>
      </w:r>
    </w:p>
    <w:p w:rsidR="00847E22" w:rsidRDefault="00847E22" w:rsidP="003B2959">
      <w:pPr>
        <w:jc w:val="both"/>
      </w:pPr>
    </w:p>
    <w:p w:rsidR="00847E22" w:rsidRDefault="00847E22" w:rsidP="003B2959">
      <w:pPr>
        <w:jc w:val="both"/>
      </w:pPr>
    </w:p>
    <w:p w:rsidR="00847E22" w:rsidRDefault="00847E22" w:rsidP="00B066C8">
      <w:pPr>
        <w:jc w:val="center"/>
      </w:pPr>
      <w:r>
        <w:t>§ 17</w:t>
      </w:r>
    </w:p>
    <w:p w:rsidR="00847E22" w:rsidRDefault="00847E22" w:rsidP="00B066C8">
      <w:pPr>
        <w:jc w:val="center"/>
      </w:pPr>
      <w:r>
        <w:t>Anrufung des Arbeitsgerichts</w:t>
      </w:r>
    </w:p>
    <w:p w:rsidR="00847E22" w:rsidRDefault="00847E22" w:rsidP="003B2959">
      <w:pPr>
        <w:jc w:val="both"/>
      </w:pPr>
    </w:p>
    <w:p w:rsidR="00847E22" w:rsidRDefault="00847E22" w:rsidP="003B2959">
      <w:pPr>
        <w:jc w:val="both"/>
      </w:pPr>
    </w:p>
    <w:p w:rsidR="00847E22" w:rsidRDefault="00847E22" w:rsidP="003B2959">
      <w:pPr>
        <w:jc w:val="both"/>
      </w:pPr>
      <w:r>
        <w:t>Will der Arbeitnehmer geltend machen, dass die Befristung eines Arbeitsvertrages rechtsun</w:t>
      </w:r>
      <w:r>
        <w:softHyphen/>
        <w:t>wirksam ist, so muss er innerhalb von drei Wochen nach dem vereinbarten Ende des befris</w:t>
      </w:r>
      <w:r>
        <w:softHyphen/>
        <w:t>teten Arbeitsvertrages Klage beim Arbeitsgericht auf Feststellung erheben, dass das Arbeits</w:t>
      </w:r>
      <w:r>
        <w:softHyphen/>
        <w:t xml:space="preserve">verhältnis auf Grund der Befristung nicht beendet ist. Die §§ 5 bis 7 des </w:t>
      </w:r>
      <w:proofErr w:type="spellStart"/>
      <w:r>
        <w:t>Kündigungsschutz</w:t>
      </w:r>
      <w:r>
        <w:softHyphen/>
        <w:t>gesetzes</w:t>
      </w:r>
      <w:proofErr w:type="spellEnd"/>
      <w:r>
        <w:t xml:space="preserve"> gelten entsprechend. Wird das Arbeitsverhältnis nach dem vereinbarten Ende fort</w:t>
      </w:r>
      <w:r>
        <w:softHyphen/>
        <w:t>gesetzt, so beginnt die Frist nach Satz 1 mit dem Zugang der schriftlichen Erklärung des Arbeitgebers, dass das Arbeitsverhältnis auf Grund der Befristung beendet sei.</w:t>
      </w:r>
    </w:p>
    <w:p w:rsidR="00847E22" w:rsidRDefault="00847E22"/>
    <w:p w:rsidR="00847E22" w:rsidRDefault="00847E22"/>
    <w:p w:rsidR="00847E22" w:rsidRDefault="00847E22">
      <w:pPr>
        <w:jc w:val="center"/>
        <w:rPr>
          <w:b/>
        </w:rPr>
      </w:pPr>
      <w:r>
        <w:rPr>
          <w:b/>
        </w:rPr>
        <w:t>Vierter Abschnitt</w:t>
      </w:r>
    </w:p>
    <w:p w:rsidR="00847E22" w:rsidRDefault="00847E22">
      <w:pPr>
        <w:jc w:val="center"/>
        <w:rPr>
          <w:b/>
        </w:rPr>
      </w:pPr>
      <w:r>
        <w:rPr>
          <w:b/>
        </w:rPr>
        <w:t>Gemeinsame Vorschriften</w:t>
      </w:r>
    </w:p>
    <w:p w:rsidR="00847E22" w:rsidRDefault="00847E22"/>
    <w:p w:rsidR="00847E22" w:rsidRDefault="00847E22">
      <w:pPr>
        <w:jc w:val="center"/>
      </w:pPr>
      <w:r>
        <w:t>§ 22</w:t>
      </w:r>
    </w:p>
    <w:p w:rsidR="00847E22" w:rsidRDefault="00847E22">
      <w:pPr>
        <w:jc w:val="center"/>
      </w:pPr>
      <w:r>
        <w:t>Abweichende Vereinbarungen</w:t>
      </w:r>
    </w:p>
    <w:p w:rsidR="00847E22" w:rsidRDefault="00847E22">
      <w:pPr>
        <w:jc w:val="center"/>
      </w:pPr>
    </w:p>
    <w:p w:rsidR="00847E22" w:rsidRDefault="00847E22"/>
    <w:p w:rsidR="00847E22" w:rsidRDefault="00847E22" w:rsidP="003B2959">
      <w:pPr>
        <w:jc w:val="both"/>
      </w:pPr>
      <w:r>
        <w:t xml:space="preserve">(1)  Außer in den Fällen des </w:t>
      </w:r>
      <w:r w:rsidR="008A47CA">
        <w:t xml:space="preserve">§ 9 a Abs. 6, </w:t>
      </w:r>
      <w:r>
        <w:t>§ 12 Abs. </w:t>
      </w:r>
      <w:r w:rsidR="008A47CA">
        <w:t>6</w:t>
      </w:r>
      <w:bookmarkStart w:id="0" w:name="_GoBack"/>
      <w:bookmarkEnd w:id="0"/>
      <w:r>
        <w:t>, § 13 Abs. 4 und § 14 Abs. 2 Satz 3 und 4 kann von den Vorschr</w:t>
      </w:r>
      <w:r w:rsidR="00BE5E68">
        <w:t>iften dieses Gesetzes nicht zuu</w:t>
      </w:r>
      <w:r>
        <w:t>ngunsten des Arbeitnehmers abgewichen wer</w:t>
      </w:r>
      <w:r>
        <w:softHyphen/>
        <w:t>den.</w:t>
      </w:r>
    </w:p>
    <w:sectPr w:rsidR="00847E22">
      <w:headerReference w:type="default" r:id="rId8"/>
      <w:footerReference w:type="first" r:id="rId9"/>
      <w:pgSz w:w="11906" w:h="16838" w:code="9"/>
      <w:pgMar w:top="1418" w:right="1418" w:bottom="663"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54B" w:rsidRDefault="0087754B">
      <w:r>
        <w:separator/>
      </w:r>
    </w:p>
  </w:endnote>
  <w:endnote w:type="continuationSeparator" w:id="0">
    <w:p w:rsidR="0087754B" w:rsidRDefault="0087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59" w:rsidRDefault="003B2959" w:rsidP="00FE451D">
    <w:pPr>
      <w:pStyle w:val="Fuzeile"/>
      <w:ind w:left="-709"/>
      <w:rPr>
        <w:sz w:val="20"/>
      </w:rPr>
    </w:pPr>
    <w:r>
      <w:rPr>
        <w:sz w:val="20"/>
      </w:rPr>
      <w:t>01/</w:t>
    </w:r>
    <w:r w:rsidR="008A47CA">
      <w:rPr>
        <w:sz w:val="20"/>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54B" w:rsidRDefault="0087754B">
      <w:r>
        <w:separator/>
      </w:r>
    </w:p>
  </w:footnote>
  <w:footnote w:type="continuationSeparator" w:id="0">
    <w:p w:rsidR="0087754B" w:rsidRDefault="00877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59" w:rsidRDefault="003B2959">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DE53E6">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D40ED"/>
    <w:multiLevelType w:val="singleLevel"/>
    <w:tmpl w:val="05BC5520"/>
    <w:lvl w:ilvl="0">
      <w:start w:val="4"/>
      <w:numFmt w:val="decimal"/>
      <w:lvlText w:val="(%1)"/>
      <w:lvlJc w:val="left"/>
      <w:pPr>
        <w:tabs>
          <w:tab w:val="num" w:pos="564"/>
        </w:tabs>
        <w:ind w:left="564" w:hanging="564"/>
      </w:pPr>
      <w:rPr>
        <w:rFonts w:hint="default"/>
      </w:rPr>
    </w:lvl>
  </w:abstractNum>
  <w:abstractNum w:abstractNumId="1">
    <w:nsid w:val="365110A4"/>
    <w:multiLevelType w:val="singleLevel"/>
    <w:tmpl w:val="2F2ADB38"/>
    <w:lvl w:ilvl="0">
      <w:start w:val="3"/>
      <w:numFmt w:val="decimal"/>
      <w:lvlText w:val="(%1)"/>
      <w:lvlJc w:val="left"/>
      <w:pPr>
        <w:tabs>
          <w:tab w:val="num" w:pos="648"/>
        </w:tabs>
        <w:ind w:left="648" w:hanging="648"/>
      </w:pPr>
      <w:rPr>
        <w:rFonts w:hint="default"/>
      </w:rPr>
    </w:lvl>
  </w:abstractNum>
  <w:abstractNum w:abstractNumId="2">
    <w:nsid w:val="51DD4F2F"/>
    <w:multiLevelType w:val="singleLevel"/>
    <w:tmpl w:val="E4F8800E"/>
    <w:lvl w:ilvl="0">
      <w:start w:val="1"/>
      <w:numFmt w:val="decimal"/>
      <w:lvlText w:val="%1."/>
      <w:lvlJc w:val="left"/>
      <w:pPr>
        <w:tabs>
          <w:tab w:val="num" w:pos="564"/>
        </w:tabs>
        <w:ind w:left="564" w:hanging="564"/>
      </w:pPr>
      <w:rPr>
        <w:rFonts w:hint="default"/>
      </w:rPr>
    </w:lvl>
  </w:abstractNum>
  <w:abstractNum w:abstractNumId="3">
    <w:nsid w:val="546B4457"/>
    <w:multiLevelType w:val="singleLevel"/>
    <w:tmpl w:val="F6EC5606"/>
    <w:lvl w:ilvl="0">
      <w:start w:val="4"/>
      <w:numFmt w:val="decimal"/>
      <w:lvlText w:val="(%1)"/>
      <w:lvlJc w:val="left"/>
      <w:pPr>
        <w:tabs>
          <w:tab w:val="num" w:pos="360"/>
        </w:tabs>
        <w:ind w:left="360" w:hanging="360"/>
      </w:pPr>
      <w:rPr>
        <w:rFonts w:hint="default"/>
      </w:rPr>
    </w:lvl>
  </w:abstractNum>
  <w:abstractNum w:abstractNumId="4">
    <w:nsid w:val="54F8705A"/>
    <w:multiLevelType w:val="singleLevel"/>
    <w:tmpl w:val="0D1685B2"/>
    <w:lvl w:ilvl="0">
      <w:start w:val="1"/>
      <w:numFmt w:val="decimal"/>
      <w:lvlText w:val="(%1)"/>
      <w:lvlJc w:val="left"/>
      <w:pPr>
        <w:tabs>
          <w:tab w:val="num" w:pos="504"/>
        </w:tabs>
        <w:ind w:left="504" w:hanging="504"/>
      </w:pPr>
      <w:rPr>
        <w:rFonts w:hint="default"/>
      </w:rPr>
    </w:lvl>
  </w:abstractNum>
  <w:abstractNum w:abstractNumId="5">
    <w:nsid w:val="6CFD657C"/>
    <w:multiLevelType w:val="singleLevel"/>
    <w:tmpl w:val="47AE6ECA"/>
    <w:lvl w:ilvl="0">
      <w:start w:val="4"/>
      <w:numFmt w:val="decimal"/>
      <w:lvlText w:val="(%1)"/>
      <w:lvlJc w:val="left"/>
      <w:pPr>
        <w:tabs>
          <w:tab w:val="num" w:pos="360"/>
        </w:tabs>
        <w:ind w:left="360" w:hanging="360"/>
      </w:pPr>
      <w:rPr>
        <w:rFonts w:hint="default"/>
      </w:rPr>
    </w:lvl>
  </w:abstractNum>
  <w:abstractNum w:abstractNumId="6">
    <w:nsid w:val="7DCA05AC"/>
    <w:multiLevelType w:val="singleLevel"/>
    <w:tmpl w:val="6F6E5FAA"/>
    <w:lvl w:ilvl="0">
      <w:start w:val="2"/>
      <w:numFmt w:val="decimal"/>
      <w:lvlText w:val="(%1)"/>
      <w:lvlJc w:val="left"/>
      <w:pPr>
        <w:tabs>
          <w:tab w:val="num" w:pos="564"/>
        </w:tabs>
        <w:ind w:left="564" w:hanging="564"/>
      </w:pPr>
      <w:rPr>
        <w:rFonts w:hint="default"/>
      </w:rPr>
    </w:lvl>
  </w:abstractNum>
  <w:abstractNum w:abstractNumId="7">
    <w:nsid w:val="7F5D5925"/>
    <w:multiLevelType w:val="singleLevel"/>
    <w:tmpl w:val="68BC7C70"/>
    <w:lvl w:ilvl="0">
      <w:start w:val="3"/>
      <w:numFmt w:val="decimal"/>
      <w:lvlText w:val="(%1)"/>
      <w:lvlJc w:val="left"/>
      <w:pPr>
        <w:tabs>
          <w:tab w:val="num" w:pos="708"/>
        </w:tabs>
        <w:ind w:left="708" w:hanging="708"/>
      </w:pPr>
      <w:rPr>
        <w:rFonts w:hint="default"/>
      </w:rPr>
    </w:lvl>
  </w:abstractNum>
  <w:num w:numId="1">
    <w:abstractNumId w:val="4"/>
  </w:num>
  <w:num w:numId="2">
    <w:abstractNumId w:val="2"/>
  </w:num>
  <w:num w:numId="3">
    <w:abstractNumId w:val="7"/>
  </w:num>
  <w:num w:numId="4">
    <w:abstractNumId w:val="1"/>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32"/>
    <w:rsid w:val="0021212C"/>
    <w:rsid w:val="002A4562"/>
    <w:rsid w:val="003B2959"/>
    <w:rsid w:val="003E5E97"/>
    <w:rsid w:val="00847E22"/>
    <w:rsid w:val="00856721"/>
    <w:rsid w:val="0087754B"/>
    <w:rsid w:val="008A47CA"/>
    <w:rsid w:val="00B066C8"/>
    <w:rsid w:val="00BE5E68"/>
    <w:rsid w:val="00CA1932"/>
    <w:rsid w:val="00DE53E6"/>
    <w:rsid w:val="00E05D57"/>
    <w:rsid w:val="00FA6059"/>
    <w:rsid w:val="00FE45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itel">
    <w:name w:val="Title"/>
    <w:basedOn w:val="Standard"/>
    <w:qFormat/>
    <w:pPr>
      <w:jc w:val="center"/>
    </w:pPr>
    <w:rPr>
      <w:b/>
    </w:rPr>
  </w:style>
  <w:style w:type="paragraph" w:styleId="Sprechblasentext">
    <w:name w:val="Balloon Text"/>
    <w:basedOn w:val="Standard"/>
    <w:link w:val="SprechblasentextZchn"/>
    <w:uiPriority w:val="99"/>
    <w:semiHidden/>
    <w:unhideWhenUsed/>
    <w:rsid w:val="00DE53E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53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itel">
    <w:name w:val="Title"/>
    <w:basedOn w:val="Standard"/>
    <w:qFormat/>
    <w:pPr>
      <w:jc w:val="center"/>
    </w:pPr>
    <w:rPr>
      <w:b/>
    </w:rPr>
  </w:style>
  <w:style w:type="paragraph" w:styleId="Sprechblasentext">
    <w:name w:val="Balloon Text"/>
    <w:basedOn w:val="Standard"/>
    <w:link w:val="SprechblasentextZchn"/>
    <w:uiPriority w:val="99"/>
    <w:semiHidden/>
    <w:unhideWhenUsed/>
    <w:rsid w:val="00DE53E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5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4C31F920.dotm</Template>
  <TotalTime>0</TotalTime>
  <Pages>2</Pages>
  <Words>677</Words>
  <Characters>4411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Auszug aus dem Teilzeit- und Befristungsgesetz</vt:lpstr>
    </vt:vector>
  </TitlesOfParts>
  <Company>Evangelischer Oberkirchenrat in Baden</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Auszug aus dem Teilzeit- und Befristungsgesetz</dc:title>
  <dc:creator>Evangelischer Oberkirchenrat</dc:creator>
  <cp:lastModifiedBy>Dörenbecher, Erna</cp:lastModifiedBy>
  <cp:revision>4</cp:revision>
  <cp:lastPrinted>2019-01-04T08:40:00Z</cp:lastPrinted>
  <dcterms:created xsi:type="dcterms:W3CDTF">2019-01-04T08:38:00Z</dcterms:created>
  <dcterms:modified xsi:type="dcterms:W3CDTF">2019-01-04T08:42:00Z</dcterms:modified>
</cp:coreProperties>
</file>