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C42" w:rsidRPr="0005077A" w:rsidRDefault="00520C42" w:rsidP="00520C42">
      <w:pPr>
        <w:rPr>
          <w:sz w:val="20"/>
        </w:rPr>
      </w:pPr>
      <w:r w:rsidRPr="0005077A">
        <w:rPr>
          <w:sz w:val="20"/>
        </w:rPr>
        <w:t>Wolfgang Brjanzew</w:t>
      </w:r>
    </w:p>
    <w:p w:rsidR="00520C42" w:rsidRPr="001F1B67" w:rsidRDefault="00520C42" w:rsidP="00520C42">
      <w:pPr>
        <w:rPr>
          <w:b/>
          <w:sz w:val="32"/>
          <w:szCs w:val="32"/>
        </w:rPr>
      </w:pPr>
      <w:r w:rsidRPr="001F1B67">
        <w:rPr>
          <w:b/>
          <w:sz w:val="32"/>
          <w:szCs w:val="32"/>
        </w:rPr>
        <w:t>Wichtige Grundzüge der Theologie Martin Luthers</w:t>
      </w:r>
    </w:p>
    <w:p w:rsidR="00520C42" w:rsidRPr="000E7B9E" w:rsidRDefault="00520C42" w:rsidP="00520C42">
      <w:pPr>
        <w:rPr>
          <w:b/>
          <w:sz w:val="16"/>
          <w:szCs w:val="16"/>
        </w:rPr>
      </w:pPr>
    </w:p>
    <w:p w:rsidR="00520C42" w:rsidRPr="00520C42" w:rsidRDefault="00520C42" w:rsidP="00520C42">
      <w:pPr>
        <w:rPr>
          <w:b/>
          <w:sz w:val="20"/>
        </w:rPr>
      </w:pPr>
      <w:r w:rsidRPr="00520C42">
        <w:rPr>
          <w:b/>
          <w:sz w:val="20"/>
        </w:rPr>
        <w:t xml:space="preserve">1. Die Sehnsucht und das Streben nach Gottes Güte und Freundlichkeit </w:t>
      </w:r>
    </w:p>
    <w:p w:rsidR="00520C42" w:rsidRPr="00520C42" w:rsidRDefault="00520C42" w:rsidP="00520C42">
      <w:pPr>
        <w:rPr>
          <w:sz w:val="20"/>
        </w:rPr>
      </w:pPr>
      <w:r w:rsidRPr="00520C42">
        <w:rPr>
          <w:sz w:val="20"/>
        </w:rPr>
        <w:t>Mit seinen Zeitgenossen und Menschen aller Zeiten teilte Martin Luther eine ganz tiefe  Sehnsucht. Er wollte Gott ganz nahe und von ihm geliebt sein. Er war bereit, alles zu tun, um einmal teilhaben zu dürfen am ewigen Leben in Gottes neuer Welt.</w:t>
      </w:r>
      <w:r>
        <w:rPr>
          <w:sz w:val="20"/>
        </w:rPr>
        <w:t xml:space="preserve"> </w:t>
      </w:r>
      <w:r w:rsidRPr="00520C42">
        <w:rPr>
          <w:sz w:val="20"/>
        </w:rPr>
        <w:t xml:space="preserve">Und um es Gott nur ja recht zu machen, wurde er schließlich ein Mönch. Er weihte sein Dasein ganz und gar Gott. Dabei nahm er es sehr ernst mit den strengen Klosterregeln seines Ordens. Er versuchte sie sogar noch durch zusätzliche Übungen zu übertreffen. </w:t>
      </w:r>
    </w:p>
    <w:p w:rsidR="00520C42" w:rsidRPr="00204E5C" w:rsidRDefault="00520C42" w:rsidP="00520C42">
      <w:pPr>
        <w:rPr>
          <w:sz w:val="10"/>
          <w:szCs w:val="10"/>
        </w:rPr>
      </w:pPr>
      <w:r w:rsidRPr="00520C42">
        <w:rPr>
          <w:sz w:val="20"/>
        </w:rPr>
        <w:t xml:space="preserve"> </w:t>
      </w:r>
    </w:p>
    <w:p w:rsidR="00520C42" w:rsidRPr="00520C42" w:rsidRDefault="00520C42" w:rsidP="00520C42">
      <w:pPr>
        <w:rPr>
          <w:b/>
          <w:sz w:val="20"/>
        </w:rPr>
      </w:pPr>
      <w:r w:rsidRPr="00520C42">
        <w:rPr>
          <w:b/>
          <w:sz w:val="20"/>
        </w:rPr>
        <w:t>2. Der Weg des Gesetzes führt nicht zum Heil sondern zu Selbstüberforderung und tiefer Verzweiflung</w:t>
      </w:r>
    </w:p>
    <w:p w:rsidR="00520C42" w:rsidRPr="00520C42" w:rsidRDefault="00520C42" w:rsidP="00520C42">
      <w:pPr>
        <w:rPr>
          <w:sz w:val="20"/>
        </w:rPr>
      </w:pPr>
      <w:r w:rsidRPr="00520C42">
        <w:rPr>
          <w:sz w:val="20"/>
        </w:rPr>
        <w:t>Je länger Luther sich abmühte, Gott wohlgefällig zu leben, desto mehr wurde ihm bewusst: "Ich schaffe das nicht. Es wird mir nie gelingen, wirklich in allen Dingen Gottes Willen zu erfüllen." Wenn es ihm aber nicht möglich war, Gottes Gebote ihrem Buchstaben und Geist nach zu erfüllen, dann würde er doch am Ende in der ewigen Verdammnis enden. Angesichts solcher bitterer Erfahrungen und Einsichten verfiel Luther in tiefe Verzweiflung.</w:t>
      </w:r>
    </w:p>
    <w:p w:rsidR="00520C42" w:rsidRPr="00204E5C" w:rsidRDefault="00520C42" w:rsidP="00520C42">
      <w:pPr>
        <w:rPr>
          <w:sz w:val="10"/>
          <w:szCs w:val="10"/>
        </w:rPr>
      </w:pPr>
    </w:p>
    <w:p w:rsidR="00520C42" w:rsidRPr="00520C42" w:rsidRDefault="00520C42" w:rsidP="00520C42">
      <w:pPr>
        <w:rPr>
          <w:b/>
          <w:sz w:val="20"/>
        </w:rPr>
      </w:pPr>
      <w:r w:rsidRPr="00520C42">
        <w:rPr>
          <w:b/>
          <w:sz w:val="20"/>
        </w:rPr>
        <w:t>3. Die Versöhnung mit Gott ist kein Verdienst des Menschen sondern ein Geschenk Gottes (</w:t>
      </w:r>
      <w:proofErr w:type="spellStart"/>
      <w:r w:rsidRPr="00520C42">
        <w:rPr>
          <w:b/>
          <w:sz w:val="20"/>
        </w:rPr>
        <w:t>sola</w:t>
      </w:r>
      <w:proofErr w:type="spellEnd"/>
      <w:r w:rsidRPr="00520C42">
        <w:rPr>
          <w:b/>
          <w:sz w:val="20"/>
        </w:rPr>
        <w:t xml:space="preserve"> </w:t>
      </w:r>
      <w:proofErr w:type="spellStart"/>
      <w:r w:rsidRPr="00520C42">
        <w:rPr>
          <w:b/>
          <w:sz w:val="20"/>
        </w:rPr>
        <w:t>gratia</w:t>
      </w:r>
      <w:proofErr w:type="spellEnd"/>
      <w:r w:rsidRPr="00520C42">
        <w:rPr>
          <w:b/>
          <w:sz w:val="20"/>
        </w:rPr>
        <w:t>)</w:t>
      </w:r>
    </w:p>
    <w:p w:rsidR="00520C42" w:rsidRDefault="00520C42" w:rsidP="00520C42">
      <w:pPr>
        <w:rPr>
          <w:sz w:val="20"/>
        </w:rPr>
      </w:pPr>
      <w:r w:rsidRPr="00520C42">
        <w:rPr>
          <w:sz w:val="20"/>
        </w:rPr>
        <w:t>Doch dann machte er eine für ihn selbst und seine ganze weitere Verkündigungs- und Lehrtätigkeit bahnbrechende Entdeckung. Er hatte sich als junger Professor sehr intensiv mit dem Römerbrief beschäftigt. Dabei wurde ihm immer deutlicher: Der Mensch kann sich das Heil nicht durch strenge Erfüllung des Gesetzes verdienen. Er kam zu der Gewissheit: Die Rechtfertigung des Sünders ist ein ganz großartiges Geschenk Gottes. Der Mensch empfängt es völlig umsonst, gratis, allein weil Go</w:t>
      </w:r>
      <w:r>
        <w:rPr>
          <w:sz w:val="20"/>
        </w:rPr>
        <w:t xml:space="preserve">tt ihm gnädig ist. (Römer 3,24) </w:t>
      </w:r>
      <w:r w:rsidRPr="00520C42">
        <w:rPr>
          <w:sz w:val="20"/>
        </w:rPr>
        <w:t>Nicht durch sein Streben, sich durch fromme Werke selbst zu rechtfertigen, gelangt der Mensch zur Versöhnung mit Gott, sondern allein durch die Gnade, die Gott ihm in Jesus Christus umsonst geschenkt hat.</w:t>
      </w:r>
    </w:p>
    <w:p w:rsidR="00520C42" w:rsidRPr="00204E5C" w:rsidRDefault="00520C42" w:rsidP="00520C42">
      <w:pPr>
        <w:rPr>
          <w:sz w:val="10"/>
          <w:szCs w:val="10"/>
        </w:rPr>
      </w:pPr>
    </w:p>
    <w:p w:rsidR="00520C42" w:rsidRPr="00520C42" w:rsidRDefault="00520C42" w:rsidP="00520C42">
      <w:pPr>
        <w:rPr>
          <w:b/>
          <w:sz w:val="20"/>
        </w:rPr>
      </w:pPr>
      <w:r w:rsidRPr="00520C42">
        <w:rPr>
          <w:b/>
          <w:sz w:val="20"/>
        </w:rPr>
        <w:t>4. Die Erlösung des Menschen ist durch Jesus Christus bereits geschehen (</w:t>
      </w:r>
      <w:proofErr w:type="spellStart"/>
      <w:r w:rsidRPr="00520C42">
        <w:rPr>
          <w:b/>
          <w:sz w:val="20"/>
        </w:rPr>
        <w:t>solus</w:t>
      </w:r>
      <w:proofErr w:type="spellEnd"/>
      <w:r w:rsidRPr="00520C42">
        <w:rPr>
          <w:b/>
          <w:sz w:val="20"/>
        </w:rPr>
        <w:t xml:space="preserve"> Christus)</w:t>
      </w:r>
    </w:p>
    <w:p w:rsidR="00520C42" w:rsidRPr="00520C42" w:rsidRDefault="00520C42" w:rsidP="00520C42">
      <w:pPr>
        <w:rPr>
          <w:sz w:val="20"/>
        </w:rPr>
      </w:pPr>
      <w:r w:rsidRPr="00520C42">
        <w:rPr>
          <w:sz w:val="20"/>
        </w:rPr>
        <w:t>Und noch etwas entdeckte Luther beim Lesen der Heiligen Schrift. Es wurde ihm die Einsicht zuteil, dass die Erlösung des Menschen nicht erst in einer fernen Zukunft geschehen wird. Er war überglücklich, als ihm klar wurde:</w:t>
      </w:r>
      <w:r>
        <w:rPr>
          <w:sz w:val="20"/>
        </w:rPr>
        <w:t xml:space="preserve"> </w:t>
      </w:r>
      <w:r w:rsidRPr="00520C42">
        <w:rPr>
          <w:sz w:val="20"/>
        </w:rPr>
        <w:t xml:space="preserve">Das Werk der Erlösung ist ja schon längst und ein für allemal vollbracht. Dafür steht Jesus Christus. Durch </w:t>
      </w:r>
      <w:proofErr w:type="gramStart"/>
      <w:r w:rsidRPr="00520C42">
        <w:rPr>
          <w:sz w:val="20"/>
        </w:rPr>
        <w:t>sein</w:t>
      </w:r>
      <w:proofErr w:type="gramEnd"/>
      <w:r w:rsidRPr="00520C42">
        <w:rPr>
          <w:sz w:val="20"/>
        </w:rPr>
        <w:t xml:space="preserve"> Oper am Kreuz wurde alle menschliche Schuld vergeben und getilgt. (Römer 3, 24.25). Es gibt keine frommen Eigenleistung, die der Mensch Gott vorrechnen könnte. Nur durch Christus allein wird ihm seine Erlösung zuteil.</w:t>
      </w:r>
    </w:p>
    <w:p w:rsidR="00520C42" w:rsidRPr="00204E5C" w:rsidRDefault="00520C42" w:rsidP="00520C42">
      <w:pPr>
        <w:rPr>
          <w:sz w:val="10"/>
          <w:szCs w:val="10"/>
        </w:rPr>
      </w:pPr>
    </w:p>
    <w:p w:rsidR="00520C42" w:rsidRPr="00520C42" w:rsidRDefault="00520C42" w:rsidP="00520C42">
      <w:pPr>
        <w:rPr>
          <w:b/>
          <w:sz w:val="20"/>
        </w:rPr>
      </w:pPr>
      <w:r w:rsidRPr="00520C42">
        <w:rPr>
          <w:b/>
          <w:sz w:val="20"/>
        </w:rPr>
        <w:t>5. Die persönliche Aneignung der in Christus geschenkten Versöhnung geschieht im Glauben (</w:t>
      </w:r>
      <w:proofErr w:type="spellStart"/>
      <w:r w:rsidRPr="00520C42">
        <w:rPr>
          <w:b/>
          <w:sz w:val="20"/>
        </w:rPr>
        <w:t>sola</w:t>
      </w:r>
      <w:proofErr w:type="spellEnd"/>
      <w:r w:rsidRPr="00520C42">
        <w:rPr>
          <w:b/>
          <w:sz w:val="20"/>
        </w:rPr>
        <w:t xml:space="preserve"> </w:t>
      </w:r>
      <w:proofErr w:type="spellStart"/>
      <w:r w:rsidRPr="00520C42">
        <w:rPr>
          <w:b/>
          <w:sz w:val="20"/>
        </w:rPr>
        <w:t>fide</w:t>
      </w:r>
      <w:proofErr w:type="spellEnd"/>
      <w:r w:rsidRPr="00520C42">
        <w:rPr>
          <w:b/>
          <w:sz w:val="20"/>
        </w:rPr>
        <w:t>)</w:t>
      </w:r>
    </w:p>
    <w:p w:rsidR="00520C42" w:rsidRPr="00520C42" w:rsidRDefault="00520C42" w:rsidP="00520C42">
      <w:pPr>
        <w:rPr>
          <w:sz w:val="20"/>
        </w:rPr>
      </w:pPr>
      <w:r w:rsidRPr="00520C42">
        <w:rPr>
          <w:sz w:val="20"/>
        </w:rPr>
        <w:t>Aber Luther kommt auch zu der Erkenntnis, dass die Erlösung des Menschen keine Vollautomatik ist. Jesus ist für alle Menschen gestorben. Aber dieses Geschenk wird nur dem zuteil, der es im Glauben empfängt. Wer ganz und gar auf Jesus vertraut und ihm sein Herz öffnet, dem wird die Gewissheit geschenkt: Was Jesus für alle getan hat, das gilt mir ganz persönlich. Die persönliche Aneignung der Versöhnung mit Gott geschieht also durch kein menschliches Werk, sondern allein durch den Glauben (</w:t>
      </w:r>
      <w:proofErr w:type="spellStart"/>
      <w:r w:rsidRPr="00520C42">
        <w:rPr>
          <w:sz w:val="20"/>
        </w:rPr>
        <w:t>Röm</w:t>
      </w:r>
      <w:proofErr w:type="spellEnd"/>
      <w:r w:rsidRPr="00520C42">
        <w:rPr>
          <w:sz w:val="20"/>
        </w:rPr>
        <w:t xml:space="preserve"> 3, 28). In ihm kommt Gottes Gnade beim einzelnen Menschen an ihr Ziel. Sie kann weder verdient noch für Geld gekauft werden .Es gilt, was Paulus in </w:t>
      </w:r>
      <w:proofErr w:type="spellStart"/>
      <w:r w:rsidRPr="00520C42">
        <w:rPr>
          <w:sz w:val="20"/>
        </w:rPr>
        <w:t>Röm</w:t>
      </w:r>
      <w:proofErr w:type="spellEnd"/>
      <w:r w:rsidRPr="00520C42">
        <w:rPr>
          <w:sz w:val="20"/>
        </w:rPr>
        <w:t xml:space="preserve"> 1,17 in die Worte fasst: "Der Gerechte wird aus Glauben le</w:t>
      </w:r>
      <w:r>
        <w:rPr>
          <w:sz w:val="20"/>
        </w:rPr>
        <w:t>ben".</w:t>
      </w:r>
    </w:p>
    <w:p w:rsidR="00520C42" w:rsidRPr="00204E5C" w:rsidRDefault="00520C42" w:rsidP="00520C42">
      <w:pPr>
        <w:rPr>
          <w:sz w:val="10"/>
          <w:szCs w:val="10"/>
        </w:rPr>
      </w:pPr>
    </w:p>
    <w:p w:rsidR="00520C42" w:rsidRPr="00520C42" w:rsidRDefault="00520C42" w:rsidP="00520C42">
      <w:pPr>
        <w:rPr>
          <w:b/>
          <w:sz w:val="20"/>
        </w:rPr>
      </w:pPr>
      <w:r w:rsidRPr="00520C42">
        <w:rPr>
          <w:b/>
          <w:sz w:val="20"/>
        </w:rPr>
        <w:t>6. Die Bibel als Quelle und Richtschnur des Glaubens (</w:t>
      </w:r>
      <w:proofErr w:type="spellStart"/>
      <w:r w:rsidRPr="00520C42">
        <w:rPr>
          <w:b/>
          <w:sz w:val="20"/>
        </w:rPr>
        <w:t>sola</w:t>
      </w:r>
      <w:proofErr w:type="spellEnd"/>
      <w:r w:rsidRPr="00520C42">
        <w:rPr>
          <w:b/>
          <w:sz w:val="20"/>
        </w:rPr>
        <w:t xml:space="preserve"> </w:t>
      </w:r>
      <w:proofErr w:type="spellStart"/>
      <w:r w:rsidRPr="00520C42">
        <w:rPr>
          <w:b/>
          <w:sz w:val="20"/>
        </w:rPr>
        <w:t>sciptura</w:t>
      </w:r>
      <w:proofErr w:type="spellEnd"/>
      <w:r w:rsidRPr="00520C42">
        <w:rPr>
          <w:b/>
          <w:sz w:val="20"/>
        </w:rPr>
        <w:t>)</w:t>
      </w:r>
    </w:p>
    <w:p w:rsidR="00520C42" w:rsidRPr="00520C42" w:rsidRDefault="00520C42" w:rsidP="00520C42">
      <w:pPr>
        <w:rPr>
          <w:sz w:val="20"/>
        </w:rPr>
      </w:pPr>
      <w:r w:rsidRPr="00520C42">
        <w:rPr>
          <w:sz w:val="20"/>
        </w:rPr>
        <w:t xml:space="preserve">Wie war Luther zu seinen wichtigen Glaubenserkenntnissen gekommen? Wie begründete er sie? Luther war es immer ganz wichtig, seinen Freunden und seinen Gegnern zu sagen. Was ich lehre, schreibe und predige, das kommt nicht aus mir selbst heraus. Es gründet sich allein auf das in der </w:t>
      </w:r>
      <w:r>
        <w:rPr>
          <w:sz w:val="20"/>
        </w:rPr>
        <w:t xml:space="preserve">Bibel überlieferte Wort Gottes. </w:t>
      </w:r>
      <w:r w:rsidRPr="00520C42">
        <w:rPr>
          <w:sz w:val="20"/>
        </w:rPr>
        <w:t>Für Luther und die anderen Reformatoren war die Heilige Schrift allein Quelle und Richtschnur des Glaubens. Kirchliche Tradition, Konzilsbeschlüsse und päpstliche oder sonstige kirchliche Lehraussagen standen für Luther rangmäßig unter der Bibel. Ob Papst, Bischof, Theologieprofessor oder einfaches Gemeindeglied, jeder muss sich im Blick auf das, was er sagt und tut, an der Heiligen Schrift messen lassen. Diesen Grundsatz ließ Luther natürlich auch für sich selbst gelten. Er war bereit, eigene Lehraussagen zu widerrufen, wenn ihm nachgewiesen würde, dass diese nicht schriftgemäß seien. Allein durch die Schrift könne und müsse geklärt werden, was als christliche Lehre zu gelten habe. Angesichts dieser Grundüberzeugung ist gut nachvollziehbar, dass Luther immenses Engagement in die Übersetzung und Verbreitung der Bibel investierte. Jeder Christ sollte die Möglichkeit bekommen, Gottes Wort in seiner Muttersprache zu lesen bzw. es in muttersprachlicher Predigt zu hören.</w:t>
      </w:r>
    </w:p>
    <w:p w:rsidR="00520C42" w:rsidRPr="00204E5C" w:rsidRDefault="00520C42" w:rsidP="00520C42">
      <w:pPr>
        <w:rPr>
          <w:sz w:val="10"/>
          <w:szCs w:val="10"/>
        </w:rPr>
      </w:pPr>
    </w:p>
    <w:p w:rsidR="00520C42" w:rsidRPr="00520C42" w:rsidRDefault="00520C42" w:rsidP="00520C42">
      <w:pPr>
        <w:rPr>
          <w:b/>
          <w:sz w:val="20"/>
        </w:rPr>
      </w:pPr>
      <w:r w:rsidRPr="00520C42">
        <w:rPr>
          <w:b/>
          <w:sz w:val="20"/>
        </w:rPr>
        <w:t xml:space="preserve">7. Gottes Wort und Sakrament als Heilsmittel </w:t>
      </w:r>
    </w:p>
    <w:p w:rsidR="00520C42" w:rsidRPr="00520C42" w:rsidRDefault="00520C42" w:rsidP="00520C42">
      <w:pPr>
        <w:rPr>
          <w:sz w:val="20"/>
        </w:rPr>
      </w:pPr>
      <w:r w:rsidRPr="00520C42">
        <w:rPr>
          <w:sz w:val="20"/>
        </w:rPr>
        <w:t>Nach Luthers Lehre vermittelt Gott den Menschen das ihnen von ihm zugedachte Heil vor allem über drei Medien, näm</w:t>
      </w:r>
      <w:r>
        <w:rPr>
          <w:sz w:val="20"/>
        </w:rPr>
        <w:t xml:space="preserve">lich </w:t>
      </w:r>
      <w:r w:rsidRPr="00520C42">
        <w:rPr>
          <w:sz w:val="20"/>
        </w:rPr>
        <w:t>durch sein Wort,</w:t>
      </w:r>
    </w:p>
    <w:p w:rsidR="00520C42" w:rsidRPr="00520C42" w:rsidRDefault="00520C42" w:rsidP="00520C42">
      <w:pPr>
        <w:rPr>
          <w:sz w:val="20"/>
        </w:rPr>
      </w:pPr>
      <w:r w:rsidRPr="00520C42">
        <w:rPr>
          <w:sz w:val="20"/>
        </w:rPr>
        <w:t>durch die Taufe und durch das Abendmahl. Wichtig ist, dass Luther das Wort Gottes und die Sakramente als gleichberechtigte Heilsmittel nebeneinander</w:t>
      </w:r>
      <w:r>
        <w:rPr>
          <w:sz w:val="20"/>
        </w:rPr>
        <w:t xml:space="preserve"> </w:t>
      </w:r>
      <w:r w:rsidRPr="00520C42">
        <w:rPr>
          <w:sz w:val="20"/>
        </w:rPr>
        <w:t xml:space="preserve">stellte. Im reformatorischen Sinne ist ein Sakrament eine von Christus selbst mit überlieferten Stiftungsworten eingesetzte heilige Handlung, bei der sichtbare Zeichen auf ein unsichtbares Handeln Gottes hinweisen. Da nicht alle sieben Sakramente der römischen Kirche diese Bedingungen erfüllen, betrachtete Luther nur die Taufe und das Abendmahl  als "echte" Sakramente. Die römische Kirche lehrte, dass Sakramente aus sich selbst heraus, nur durch ihren reinen Vollzug (ex </w:t>
      </w:r>
      <w:proofErr w:type="spellStart"/>
      <w:r w:rsidRPr="00520C42">
        <w:rPr>
          <w:sz w:val="20"/>
        </w:rPr>
        <w:t>opere</w:t>
      </w:r>
      <w:proofErr w:type="spellEnd"/>
      <w:r w:rsidRPr="00520C42">
        <w:rPr>
          <w:sz w:val="20"/>
        </w:rPr>
        <w:t xml:space="preserve"> </w:t>
      </w:r>
      <w:proofErr w:type="spellStart"/>
      <w:r w:rsidRPr="00520C42">
        <w:rPr>
          <w:sz w:val="20"/>
        </w:rPr>
        <w:t>operato</w:t>
      </w:r>
      <w:proofErr w:type="spellEnd"/>
      <w:r w:rsidRPr="00520C42">
        <w:rPr>
          <w:sz w:val="20"/>
        </w:rPr>
        <w:t>) wirksam seie</w:t>
      </w:r>
      <w:r>
        <w:rPr>
          <w:sz w:val="20"/>
        </w:rPr>
        <w:t xml:space="preserve">n. </w:t>
      </w:r>
      <w:r w:rsidRPr="00520C42">
        <w:rPr>
          <w:sz w:val="20"/>
        </w:rPr>
        <w:t>Dem widersprach Luther ganz entschieden. Er betonte, dass die Sakramente nur da ihre Heilskraft entfalten, wo s</w:t>
      </w:r>
      <w:r>
        <w:rPr>
          <w:sz w:val="20"/>
        </w:rPr>
        <w:t xml:space="preserve">ie im Glauben empfangen werden. </w:t>
      </w:r>
      <w:r w:rsidRPr="00520C42">
        <w:rPr>
          <w:sz w:val="20"/>
        </w:rPr>
        <w:t>Die einsetzungsgemäße Feier des Abendmahls beinhaltete für Luther, dass die Gemeinde das Sakrament in beiderlei Gestalt, nämlich in Brot und Wein empfängt.</w:t>
      </w:r>
      <w:r>
        <w:rPr>
          <w:sz w:val="20"/>
        </w:rPr>
        <w:t xml:space="preserve"> </w:t>
      </w:r>
      <w:r w:rsidRPr="00520C42">
        <w:rPr>
          <w:sz w:val="20"/>
        </w:rPr>
        <w:t>Die Taufe versteht er als das Basis-Sakrament. Über ihre Wirkung sagte er: "Was aus der Taufe gekrochen ist, das kann sich rühmen, dass es schon zum Priester, Bischof und Papst geweiht sei, obwohl es nicht einem jeglichen ziemt, solch Amt auszuüben." In diesem Sinne entwickelte sich im Umfeld Luthers die Vorstellung vom Priestertum aller Glaubenden. Auch der geweihte Priester befindet sich nach reformatorischem Verständnis in keinem höheren Stand der Gnade als jeder andere getaufte Christenmensch.</w:t>
      </w:r>
      <w:r>
        <w:rPr>
          <w:sz w:val="20"/>
        </w:rPr>
        <w:t xml:space="preserve"> </w:t>
      </w:r>
      <w:r w:rsidRPr="00520C42">
        <w:rPr>
          <w:sz w:val="20"/>
        </w:rPr>
        <w:t>Von einem kirchlichen Amtsträger wurde nach reformatorischem Verständnis nur erwartet, dass er für seine Aufgabe befähigt und nach kirchlicher Satzung ordentlich berufen</w:t>
      </w:r>
      <w:r>
        <w:rPr>
          <w:sz w:val="20"/>
        </w:rPr>
        <w:t xml:space="preserve"> (rite </w:t>
      </w:r>
      <w:proofErr w:type="spellStart"/>
      <w:r>
        <w:rPr>
          <w:sz w:val="20"/>
        </w:rPr>
        <w:t>vocatus</w:t>
      </w:r>
      <w:proofErr w:type="spellEnd"/>
      <w:r>
        <w:rPr>
          <w:sz w:val="20"/>
        </w:rPr>
        <w:t xml:space="preserve">) ist. </w:t>
      </w:r>
      <w:r w:rsidRPr="00520C42">
        <w:rPr>
          <w:sz w:val="20"/>
        </w:rPr>
        <w:t>Die Reformation versuchte, die „einfachen Gläubigen“ aus der Rolle der Betreuten und Beherrschten zu befreien und sie als aktiv Mitwirkende in die Verantwortung zu rufen. Ihr gänzlich anderes Amtsverständnis ist bis heute das, was die katholische Kirche am meisten daran hindert, die evangelischen Kirchen im Vollsinn als Kirchen anzuerkennen und mit diesen Abendmahlsgemeinschaft oder auch nur eucharistische Gastfreundschaft zu pflegen.</w:t>
      </w:r>
      <w:r>
        <w:rPr>
          <w:sz w:val="20"/>
        </w:rPr>
        <w:t xml:space="preserve"> </w:t>
      </w:r>
      <w:r w:rsidRPr="00520C42">
        <w:rPr>
          <w:sz w:val="20"/>
        </w:rPr>
        <w:t xml:space="preserve">Auf der Grundlage des Prinzips des Priestertums aller Glaubenden wurde schon in den sehr frühen </w:t>
      </w:r>
      <w:r w:rsidRPr="00520C42">
        <w:rPr>
          <w:sz w:val="20"/>
        </w:rPr>
        <w:lastRenderedPageBreak/>
        <w:t>reformatorischen Kirchenordnungen das Recht der Gemeinde verankert, ihre Pfarrer selbst zu wählen und über die rechte Lehre und Verkündigung zu wachen.</w:t>
      </w:r>
    </w:p>
    <w:p w:rsidR="00520C42" w:rsidRPr="00204E5C" w:rsidRDefault="00520C42" w:rsidP="00520C42">
      <w:pPr>
        <w:rPr>
          <w:sz w:val="10"/>
          <w:szCs w:val="10"/>
        </w:rPr>
      </w:pPr>
    </w:p>
    <w:p w:rsidR="00520C42" w:rsidRPr="00520C42" w:rsidRDefault="00520C42" w:rsidP="00520C42">
      <w:pPr>
        <w:rPr>
          <w:b/>
          <w:sz w:val="20"/>
        </w:rPr>
      </w:pPr>
      <w:r w:rsidRPr="00520C42">
        <w:rPr>
          <w:b/>
          <w:sz w:val="20"/>
        </w:rPr>
        <w:t>8. Der Glaube befreit zur Umkehr - Die Buße als fröhliches Geschäft</w:t>
      </w:r>
    </w:p>
    <w:p w:rsidR="00520C42" w:rsidRPr="00520C42" w:rsidRDefault="00520C42" w:rsidP="00520C42">
      <w:pPr>
        <w:rPr>
          <w:sz w:val="20"/>
        </w:rPr>
      </w:pPr>
      <w:r w:rsidRPr="00520C42">
        <w:rPr>
          <w:sz w:val="20"/>
        </w:rPr>
        <w:t xml:space="preserve">Luther hatte an sich selbst die befreiende Kraft des Glaubens erfahren dürfen und diese auch in vielfältiger Weise verkündigt. Dabei war ihm sehr wichtig, deutlich zu machen: Allein durch den Glaube gelangt der Mensch zur wahren Erkenntnis seiner Schuld. Nur das tiefe Vertrauen auf Gott und das, was er in Christus zum Heil des Menschen gewirkt hat, befreit zur Buße. Der Glaube allein </w:t>
      </w:r>
      <w:proofErr w:type="gramStart"/>
      <w:r w:rsidRPr="00520C42">
        <w:rPr>
          <w:sz w:val="20"/>
        </w:rPr>
        <w:t>mach</w:t>
      </w:r>
      <w:proofErr w:type="gramEnd"/>
      <w:r w:rsidRPr="00520C42">
        <w:rPr>
          <w:sz w:val="20"/>
        </w:rPr>
        <w:t xml:space="preserve"> den Menschen frei zu wirklicher Umkehr und zu einem Leben, das sich an Gottes Willen orientiert. Wer keine Angst (mehr) hat vor Gottes Zorn, weil er sich von seinem himmlischen Vater geliebt und zum ewigen Leben befreit weiß, der kann mit Freude einem gottlosen Leben absagen und ganz bewusst den Weg der Nachfolge Jesu </w:t>
      </w:r>
      <w:proofErr w:type="gramStart"/>
      <w:r w:rsidRPr="00520C42">
        <w:rPr>
          <w:sz w:val="20"/>
        </w:rPr>
        <w:t>g</w:t>
      </w:r>
      <w:bookmarkStart w:id="0" w:name="_GoBack"/>
      <w:bookmarkEnd w:id="0"/>
      <w:r w:rsidRPr="00520C42">
        <w:rPr>
          <w:sz w:val="20"/>
        </w:rPr>
        <w:t>ehen</w:t>
      </w:r>
      <w:proofErr w:type="gramEnd"/>
      <w:r w:rsidRPr="00520C42">
        <w:rPr>
          <w:sz w:val="20"/>
        </w:rPr>
        <w:t xml:space="preserve">. In diesem Sinne war für Luther die Buße ein fröhliches Geschäft. </w:t>
      </w:r>
    </w:p>
    <w:p w:rsidR="00520C42" w:rsidRPr="00204E5C" w:rsidRDefault="00520C42" w:rsidP="00520C42">
      <w:pPr>
        <w:rPr>
          <w:sz w:val="10"/>
          <w:szCs w:val="10"/>
        </w:rPr>
      </w:pPr>
    </w:p>
    <w:p w:rsidR="00520C42" w:rsidRPr="00520C42" w:rsidRDefault="0090481A" w:rsidP="00520C42">
      <w:pPr>
        <w:rPr>
          <w:b/>
          <w:sz w:val="20"/>
        </w:rPr>
      </w:pPr>
      <w:r>
        <w:rPr>
          <w:b/>
          <w:sz w:val="20"/>
        </w:rPr>
        <w:t>9. Freiheit des Gewissens und</w:t>
      </w:r>
      <w:r w:rsidR="00520C42" w:rsidRPr="00520C42">
        <w:rPr>
          <w:b/>
          <w:sz w:val="20"/>
        </w:rPr>
        <w:t xml:space="preserve"> Mut zum Bekenntnis als Glaubensfrüchte</w:t>
      </w:r>
    </w:p>
    <w:p w:rsidR="00520C42" w:rsidRPr="00520C42" w:rsidRDefault="00520C42" w:rsidP="00520C42">
      <w:pPr>
        <w:rPr>
          <w:sz w:val="20"/>
        </w:rPr>
      </w:pPr>
      <w:r w:rsidRPr="00520C42">
        <w:rPr>
          <w:sz w:val="20"/>
        </w:rPr>
        <w:t>Wir sind unter unseren heutigen gesellschaftlichen Verhältnissen an individuelle Freiheiten, Liberalität, Pluralismus, Toleranz, Rechtsstaatlichkeit, Menschen- und Bürgerrechte, Religions-, Gewissens-, Meinungs- und Pressefreiheit gewöhnt. Das alles gab es zur Zeit Luthers so nicht. Die Menschen waren damals in ein strenges System rechtlicher, politischer und religiöser Ordnungen eingebunden. Die Gesellschaft war geprägt durch ein starres Ständesystem. Die Ordnungen und Autoritäten galten als von Gott gegeben. Das Individuum spielte seinerzeit, wenn überhaupt, dann nur eine sehr untergeordnete Rolle. Dass es ein kleiner Mönch wagte, sein Gewissen über die allgemein geltenden Prinzipien zu stellen, war seinerzeit höchst ungewöhnlich und für Luther mit großen Risiken verbunden. Manches an ihm mag für seine Zeitgenossen geradezu "anarchistisch" gewirkt haben. Aber wir müssen uns bewusst machen, dass die Gewissensfreiheit, die Luther gegen die Autoritäten seiner Zeit für sich in Anspruch nahm, nur aus seiner Bindung an die höchste Autorität Gottes heraus</w:t>
      </w:r>
      <w:r>
        <w:rPr>
          <w:sz w:val="20"/>
        </w:rPr>
        <w:t xml:space="preserve"> verstanden werden kann. </w:t>
      </w:r>
      <w:r w:rsidRPr="00520C42">
        <w:rPr>
          <w:sz w:val="20"/>
        </w:rPr>
        <w:t xml:space="preserve">Freiheit wird heute nicht selten mit Beliebigkeit verwechselt. Luthers Freiheit im Blick auf weltliche und kirchliche Autoritäten gründete aber nicht auf einem übersteigerten Selbstbewusstsein, dem nur das eigene Ich wichtig und alles andere beliebig ist, sondern auf seiner völligen Unterordnung unter das, was er als Gottes Willen wahrgenommen hatte. Er maß die Ansprüche der Autoritäten seiner Zeit an dem Anspruch der Autorität Gottes. Wo zeitgenössische Autoritäten aus seiner Sicht im Widerspruch gegen Gottes Wort und Willen standen, da verfuhr er nach dem Grundsatz von </w:t>
      </w:r>
      <w:proofErr w:type="spellStart"/>
      <w:r w:rsidRPr="00520C42">
        <w:rPr>
          <w:sz w:val="20"/>
        </w:rPr>
        <w:t>Apg</w:t>
      </w:r>
      <w:proofErr w:type="spellEnd"/>
      <w:r w:rsidRPr="00520C42">
        <w:rPr>
          <w:sz w:val="20"/>
        </w:rPr>
        <w:t xml:space="preserve"> 5,29: Man muss Gott mehr gehorchen als den Menschen. Er hatte durch seinen Glauben einen Maßstab für sein Handeln gefunden, den er über die Autoritäten seiner Zeit aber auch über seine eigenen Vorlieben und Neigungen stellte. Daraus erwuchs ihm eine im 16. Jahrhundert für einen Mann seiner Herkunft und seines Standes ungewöhnliche Unabhängigkeit. Weil er es für "unsicher und gefährlich" hielt, gegen das Gewissen zu handeln, widerstand er unter anderem auf dem Reichstag zu Worms dem Druck von Kirche und kaiserlicher Autorität. Nicht aus Willkür, sondern im Sinne einer wohlüberlegten Gewissensentscheidung, setzte sich Luther über sein Mönchsgelübde hinweg und heiratete eine ehemalige Nonne. Ohne die Verbindlichkeit von Gelübden grundsätzlich in Frage zu stellen, erklärte er auf Grund seiner aus dem Studium der Heiligen Schrift gewonnenen Einsichten die Klostergelübde für nichtig. Schon in ganz jungen Jahren hatte er sich dem Willen seines Vaters widersetzt und statt Jurist zu werden, sich für den Gang ins Kloster entschieden. Die für sich beanspruchte Freiheit des Gewissens war bei Luther eine Frucht seines Glaubens gewesen, was ihn aber keineswegs vor Fehlern oder Irrtümern bewahrt hat.  </w:t>
      </w:r>
    </w:p>
    <w:p w:rsidR="00520C42" w:rsidRPr="00204E5C" w:rsidRDefault="00520C42" w:rsidP="00520C42">
      <w:pPr>
        <w:rPr>
          <w:sz w:val="10"/>
          <w:szCs w:val="10"/>
        </w:rPr>
      </w:pPr>
    </w:p>
    <w:p w:rsidR="00520C42" w:rsidRPr="00520C42" w:rsidRDefault="00520C42" w:rsidP="00520C42">
      <w:pPr>
        <w:rPr>
          <w:b/>
          <w:sz w:val="20"/>
        </w:rPr>
      </w:pPr>
      <w:r w:rsidRPr="00520C42">
        <w:rPr>
          <w:b/>
          <w:sz w:val="20"/>
        </w:rPr>
        <w:t xml:space="preserve">10. "Wir sind Bettler, das ist wahr" ... - Der Glaube bewahrt nicht vor Irrtümern und Schuld </w:t>
      </w:r>
    </w:p>
    <w:p w:rsidR="00520C42" w:rsidRPr="00520C42" w:rsidRDefault="00520C42" w:rsidP="00520C42">
      <w:pPr>
        <w:rPr>
          <w:sz w:val="20"/>
        </w:rPr>
      </w:pPr>
      <w:r w:rsidRPr="00520C42">
        <w:rPr>
          <w:sz w:val="20"/>
        </w:rPr>
        <w:t xml:space="preserve">Die letzten uns auf einem Zettel überlieferten Worte Luthers lauten: „Wir sind Bettler. Hoc </w:t>
      </w:r>
      <w:proofErr w:type="spellStart"/>
      <w:r w:rsidRPr="00520C42">
        <w:rPr>
          <w:sz w:val="20"/>
        </w:rPr>
        <w:t>est</w:t>
      </w:r>
      <w:proofErr w:type="spellEnd"/>
      <w:r w:rsidRPr="00520C42">
        <w:rPr>
          <w:sz w:val="20"/>
        </w:rPr>
        <w:t xml:space="preserve"> </w:t>
      </w:r>
      <w:proofErr w:type="spellStart"/>
      <w:r w:rsidRPr="00520C42">
        <w:rPr>
          <w:sz w:val="20"/>
        </w:rPr>
        <w:t>verum</w:t>
      </w:r>
      <w:proofErr w:type="spellEnd"/>
      <w:r w:rsidRPr="00520C42">
        <w:rPr>
          <w:sz w:val="20"/>
        </w:rPr>
        <w:t xml:space="preserve"> (Das ist wahr).“ Diese Aussage sollte uns gerade dann präsent sein, wenn wir in der Versuchung stehen, Luther und sein Wirken in irgendeiner Weise zu überhöhen. Diese Versuchung könnte ja gerade im Zusammenhang des Reformationsjubiläums besonders groß sein. Luther war sich am Ende seines Lebens sehr wohl bewusst, dass er letztlich mit leeren Händen vor Gott stehen würde. Er hatte keinen Zweifel daran, dass er - wie jeder andere Mensch auch - letztlich ganz und gar auf die Gnade Gottes angewiesen war. Luther wusste: Die in Christus geschehene Versöhnung mit Gott und jede noch so tiefe Gewissheit des Glaubens bewahren uns nicht davor, immer wieder schuldig zu werden. Auch der vor Gott gerechtfertigte Sünder bleibt bis zu seiner Vollendung zum ewigen Leben weiterhin fehlbar und ein Sünder. Er ist, wie Luther gelehrt hat, Gerechter und Sünder zugleich (</w:t>
      </w:r>
      <w:proofErr w:type="spellStart"/>
      <w:r w:rsidRPr="00520C42">
        <w:rPr>
          <w:sz w:val="20"/>
        </w:rPr>
        <w:t>simul</w:t>
      </w:r>
      <w:proofErr w:type="spellEnd"/>
      <w:r w:rsidRPr="00520C42">
        <w:rPr>
          <w:sz w:val="20"/>
        </w:rPr>
        <w:t xml:space="preserve"> </w:t>
      </w:r>
      <w:proofErr w:type="spellStart"/>
      <w:r w:rsidRPr="00520C42">
        <w:rPr>
          <w:sz w:val="20"/>
        </w:rPr>
        <w:t>iustus</w:t>
      </w:r>
      <w:proofErr w:type="spellEnd"/>
      <w:r w:rsidRPr="00520C42">
        <w:rPr>
          <w:sz w:val="20"/>
        </w:rPr>
        <w:t xml:space="preserve"> et </w:t>
      </w:r>
      <w:proofErr w:type="spellStart"/>
      <w:r w:rsidRPr="00520C42">
        <w:rPr>
          <w:sz w:val="20"/>
        </w:rPr>
        <w:t>peccator</w:t>
      </w:r>
      <w:proofErr w:type="spellEnd"/>
      <w:r w:rsidRPr="00520C42">
        <w:rPr>
          <w:sz w:val="20"/>
        </w:rPr>
        <w:t>). Der begnadete Gottesmann Martin Luther, war zugleich ein gelegentlich schwer zu ertragender Choleriker und ein Mensch, der auch große Schuld auf sich geladen hat, z. B. durch sein Urteil über die Juden und seinen Aufruf zur Anwendung grausamer Gewalt gegenüber den aufständischen Bauern seiner Zeit. Er hat scharfsinnig theologisch argumentiert und sich mutig zu seinem Glauben bekannt, aber er ist auch oft sehr derb und polemisch mit seinen Gegnern ins Gericht gegangen. Gott hat uns durch Martin Luther und sein Wirken viele wichtige theologische Erkenntnisse und positive Impulse für den Glauben und das kirchliche Leben geschenkt. Wir haben ihm viel zu verdanken. Aber das darf uns nicht blind und unkritisch machen für die Fehler, Schwächen und Irrtümer des Reformators. Außerdem sind wir nicht in erster Linie Anhänger Luthers, sondern Menschen, die gleich ihm und mit ihm in die Nachfolge Jesu Christi gerufen sind. Letztlich, das können wir von Martin Luther lernen, steht jeder von uns eigenverantwortlich vor Gott. Jeder muss immer wieder nach bestem Wissen und einem an der Heiligen Schrift geschärften Gewissen für sich selbst entscheiden, was angesichts aktueller Erfordernisse im Sinne Gottes zu tun ist.</w:t>
      </w:r>
      <w:r w:rsidR="00204E5C">
        <w:rPr>
          <w:sz w:val="20"/>
        </w:rPr>
        <w:t xml:space="preserve"> </w:t>
      </w:r>
      <w:r w:rsidRPr="00520C42">
        <w:rPr>
          <w:sz w:val="20"/>
        </w:rPr>
        <w:t>Jeder von uns, auch wenn er sich noch so sehr für die Sache Jesu engagiert hat, wird am Ende nicht ohne Schuld und als Bettler mit leeren Händen vor Gott stehen. Möge er sie uns dann füllen und uns zu jener Fülle vollenden, zu der er uns auserwählt, berufen und befreit hat in Jesus Christus.</w:t>
      </w:r>
    </w:p>
    <w:p w:rsidR="00520C42" w:rsidRDefault="00520C42" w:rsidP="00520C42">
      <w:pPr>
        <w:rPr>
          <w:sz w:val="20"/>
        </w:rPr>
      </w:pPr>
    </w:p>
    <w:p w:rsidR="00204E5C" w:rsidRPr="00520C42" w:rsidRDefault="00204E5C" w:rsidP="00520C42">
      <w:pPr>
        <w:rPr>
          <w:sz w:val="20"/>
        </w:rPr>
      </w:pPr>
    </w:p>
    <w:p w:rsidR="00204E5C" w:rsidRPr="00C85316" w:rsidRDefault="00204E5C" w:rsidP="00204E5C">
      <w:pPr>
        <w:pStyle w:val="Listenabsatz"/>
        <w:autoSpaceDE w:val="0"/>
        <w:autoSpaceDN w:val="0"/>
        <w:adjustRightInd w:val="0"/>
        <w:spacing w:line="240" w:lineRule="auto"/>
        <w:ind w:left="0"/>
        <w:rPr>
          <w:rFonts w:ascii="Arial Narrow" w:hAnsi="Arial Narrow" w:cs="Calibri"/>
          <w:color w:val="000000"/>
          <w:sz w:val="20"/>
          <w:szCs w:val="20"/>
        </w:rPr>
      </w:pPr>
      <w:r>
        <w:rPr>
          <w:rFonts w:ascii="Arial Narrow" w:hAnsi="Arial Narrow"/>
          <w:b/>
          <w:noProof/>
          <w:color w:val="000000"/>
          <w:sz w:val="20"/>
          <w:szCs w:val="20"/>
          <w:lang w:eastAsia="de-DE" w:bidi="ar-SA"/>
        </w:rPr>
        <w:drawing>
          <wp:anchor distT="0" distB="0" distL="114300" distR="114300" simplePos="0" relativeHeight="251659264" behindDoc="0" locked="0" layoutInCell="1" allowOverlap="1">
            <wp:simplePos x="0" y="0"/>
            <wp:positionH relativeFrom="margin">
              <wp:posOffset>-12065</wp:posOffset>
            </wp:positionH>
            <wp:positionV relativeFrom="margin">
              <wp:posOffset>7957185</wp:posOffset>
            </wp:positionV>
            <wp:extent cx="742950" cy="986155"/>
            <wp:effectExtent l="19050" t="0" r="0" b="0"/>
            <wp:wrapSquare wrapText="bothSides"/>
            <wp:docPr id="10" name="Bild 1" descr="C:\Users\User\Desktop\Bilder von WB\W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ilder von WB\WB5.jpg"/>
                    <pic:cNvPicPr>
                      <a:picLocks noChangeAspect="1" noChangeArrowheads="1"/>
                    </pic:cNvPicPr>
                  </pic:nvPicPr>
                  <pic:blipFill>
                    <a:blip r:embed="rId9" cstate="print"/>
                    <a:srcRect/>
                    <a:stretch>
                      <a:fillRect/>
                    </a:stretch>
                  </pic:blipFill>
                  <pic:spPr bwMode="auto">
                    <a:xfrm>
                      <a:off x="0" y="0"/>
                      <a:ext cx="742950" cy="986155"/>
                    </a:xfrm>
                    <a:prstGeom prst="rect">
                      <a:avLst/>
                    </a:prstGeom>
                    <a:noFill/>
                    <a:ln w="9525">
                      <a:noFill/>
                      <a:miter lim="800000"/>
                      <a:headEnd/>
                      <a:tailEnd/>
                    </a:ln>
                  </pic:spPr>
                </pic:pic>
              </a:graphicData>
            </a:graphic>
          </wp:anchor>
        </w:drawing>
      </w:r>
      <w:r w:rsidRPr="00C85316">
        <w:rPr>
          <w:rFonts w:ascii="Arial Narrow" w:hAnsi="Arial Narrow"/>
          <w:b/>
          <w:noProof/>
          <w:color w:val="000000"/>
          <w:sz w:val="20"/>
          <w:szCs w:val="20"/>
          <w:lang w:eastAsia="de-DE" w:bidi="ar-SA"/>
        </w:rPr>
        <w:t>Wolfgang Brjanzew</w:t>
      </w:r>
      <w:r w:rsidRPr="00C85316">
        <w:rPr>
          <w:rFonts w:ascii="Arial Narrow" w:hAnsi="Arial Narrow"/>
          <w:noProof/>
          <w:color w:val="000000"/>
          <w:sz w:val="20"/>
          <w:szCs w:val="20"/>
          <w:lang w:eastAsia="de-DE" w:bidi="ar-SA"/>
        </w:rPr>
        <w:t xml:space="preserve"> </w:t>
      </w:r>
      <w:r w:rsidRPr="00C85316">
        <w:rPr>
          <w:rFonts w:ascii="Arial Narrow" w:hAnsi="Arial Narrow"/>
          <w:color w:val="000000"/>
          <w:sz w:val="20"/>
          <w:szCs w:val="20"/>
        </w:rPr>
        <w:t xml:space="preserve"> ist Dekadebeauftragter der Evang. Landeskirche in Baden für das Jubiläum "500 Jahre Reformation - 2017". In dieser Funktion ist er geschäftsführend und inhaltlich gestaltend verantwortlich </w:t>
      </w:r>
      <w:r w:rsidRPr="00C85316">
        <w:rPr>
          <w:rFonts w:ascii="Arial Narrow" w:hAnsi="Arial Narrow" w:cs="Calibri"/>
          <w:color w:val="000000"/>
          <w:sz w:val="20"/>
          <w:szCs w:val="20"/>
        </w:rPr>
        <w:t xml:space="preserve">für die Entwicklung, Begleitung und Koordination von Angeboten und Projekten im Rahmen des Reformationsgedenkens und der gesamten Reformationsdekade. Außerdem ist er im Rahmen seiner Beauftragung auch publizistisch und für Fragen der  Öffentlichkeitsarbeit zuständig. Ferner fungiert er in Sachen Reformationsjubiläum als landeskirchlicher Verbindungsmann zur EKD, zur Ökumene, zur Politik, zum Kulturbetrieb und zu den verschiedensten gesellschaftlichen Organisationen und Gruppierungen. </w:t>
      </w:r>
      <w:r w:rsidRPr="00C85316">
        <w:rPr>
          <w:rFonts w:ascii="Arial Narrow" w:hAnsi="Arial Narrow" w:cs="Calibri"/>
          <w:color w:val="000000"/>
          <w:sz w:val="20"/>
          <w:szCs w:val="20"/>
        </w:rPr>
        <w:br/>
      </w:r>
    </w:p>
    <w:p w:rsidR="00204E5C" w:rsidRDefault="00204E5C" w:rsidP="00204E5C">
      <w:pPr>
        <w:pStyle w:val="Listenabsatz"/>
        <w:autoSpaceDE w:val="0"/>
        <w:autoSpaceDN w:val="0"/>
        <w:adjustRightInd w:val="0"/>
        <w:spacing w:line="240" w:lineRule="auto"/>
        <w:ind w:left="0"/>
        <w:rPr>
          <w:rFonts w:ascii="Trebuchet MS" w:hAnsi="Trebuchet MS" w:cs="Calibri"/>
          <w:color w:val="000000"/>
          <w:sz w:val="21"/>
          <w:szCs w:val="21"/>
        </w:rPr>
      </w:pPr>
    </w:p>
    <w:p w:rsidR="00E1552C" w:rsidRPr="00520C42" w:rsidRDefault="00E1552C" w:rsidP="00204E5C">
      <w:pPr>
        <w:rPr>
          <w:sz w:val="20"/>
        </w:rPr>
      </w:pPr>
    </w:p>
    <w:sectPr w:rsidR="00E1552C" w:rsidRPr="00520C42" w:rsidSect="00204E5C">
      <w:headerReference w:type="default" r:id="rId10"/>
      <w:footerReference w:type="default" r:id="rId11"/>
      <w:pgSz w:w="11907" w:h="16840" w:code="9"/>
      <w:pgMar w:top="709" w:right="709" w:bottom="709" w:left="709" w:header="397" w:footer="68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437" w:rsidRDefault="008B0437" w:rsidP="00B260D4">
      <w:r>
        <w:separator/>
      </w:r>
    </w:p>
  </w:endnote>
  <w:endnote w:type="continuationSeparator" w:id="0">
    <w:p w:rsidR="008B0437" w:rsidRDefault="008B0437" w:rsidP="00B2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073" w:rsidRPr="00167A34" w:rsidRDefault="0090481A">
    <w:pPr>
      <w:pStyle w:val="Fuzeile"/>
      <w:jc w:val="center"/>
      <w:rPr>
        <w:sz w:val="22"/>
        <w:szCs w:val="22"/>
      </w:rPr>
    </w:pPr>
  </w:p>
  <w:p w:rsidR="00941073" w:rsidRDefault="0090481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437" w:rsidRDefault="008B0437" w:rsidP="00B260D4">
      <w:r>
        <w:separator/>
      </w:r>
    </w:p>
  </w:footnote>
  <w:footnote w:type="continuationSeparator" w:id="0">
    <w:p w:rsidR="008B0437" w:rsidRDefault="008B0437" w:rsidP="00B26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073" w:rsidRDefault="0090481A">
    <w:pPr>
      <w:pStyle w:val="Kopfzeile"/>
      <w:jc w:val="center"/>
      <w:rPr>
        <w:b/>
        <w:bCs/>
        <w:snapToGrid w:val="0"/>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28E0"/>
    <w:multiLevelType w:val="multilevel"/>
    <w:tmpl w:val="C35E8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B5887"/>
    <w:rsid w:val="00006F6C"/>
    <w:rsid w:val="0000787D"/>
    <w:rsid w:val="0005077A"/>
    <w:rsid w:val="0008132B"/>
    <w:rsid w:val="00105EE5"/>
    <w:rsid w:val="00134480"/>
    <w:rsid w:val="00204E5C"/>
    <w:rsid w:val="002E49D3"/>
    <w:rsid w:val="0038215E"/>
    <w:rsid w:val="00446C89"/>
    <w:rsid w:val="00474A8B"/>
    <w:rsid w:val="004E5FEA"/>
    <w:rsid w:val="00520C42"/>
    <w:rsid w:val="005266B0"/>
    <w:rsid w:val="005A1A0F"/>
    <w:rsid w:val="005C1B80"/>
    <w:rsid w:val="005E1C91"/>
    <w:rsid w:val="005E3E06"/>
    <w:rsid w:val="006D14F5"/>
    <w:rsid w:val="007316D4"/>
    <w:rsid w:val="0077026B"/>
    <w:rsid w:val="007B52CA"/>
    <w:rsid w:val="007D1297"/>
    <w:rsid w:val="007F1703"/>
    <w:rsid w:val="0081579C"/>
    <w:rsid w:val="008B0437"/>
    <w:rsid w:val="0090481A"/>
    <w:rsid w:val="009A41CD"/>
    <w:rsid w:val="009C174A"/>
    <w:rsid w:val="009E4CAF"/>
    <w:rsid w:val="009F65A3"/>
    <w:rsid w:val="00A33F43"/>
    <w:rsid w:val="00A75FC3"/>
    <w:rsid w:val="00AD0733"/>
    <w:rsid w:val="00B260D4"/>
    <w:rsid w:val="00B36FA2"/>
    <w:rsid w:val="00BB3E87"/>
    <w:rsid w:val="00BF72BC"/>
    <w:rsid w:val="00CC1F85"/>
    <w:rsid w:val="00D23B0B"/>
    <w:rsid w:val="00DB5887"/>
    <w:rsid w:val="00E14437"/>
    <w:rsid w:val="00E1552C"/>
    <w:rsid w:val="00E521D9"/>
    <w:rsid w:val="00F0018B"/>
    <w:rsid w:val="00F21E50"/>
    <w:rsid w:val="00F705AE"/>
    <w:rsid w:val="00FA3DEE"/>
    <w:rsid w:val="00FD47B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14437"/>
    <w:pPr>
      <w:spacing w:after="0" w:line="240" w:lineRule="auto"/>
    </w:pPr>
    <w:rPr>
      <w:rFonts w:ascii="Arial Narrow" w:eastAsia="Times New Roman" w:hAnsi="Arial Narrow" w:cs="Arial"/>
      <w:sz w:val="28"/>
      <w:szCs w:val="20"/>
      <w:lang w:eastAsia="de-DE"/>
    </w:rPr>
  </w:style>
  <w:style w:type="paragraph" w:styleId="berschrift2">
    <w:name w:val="heading 2"/>
    <w:basedOn w:val="Standard"/>
    <w:link w:val="berschrift2Zchn"/>
    <w:uiPriority w:val="9"/>
    <w:qFormat/>
    <w:rsid w:val="00446C89"/>
    <w:pPr>
      <w:spacing w:before="100" w:beforeAutospacing="1" w:after="100" w:afterAutospacing="1"/>
      <w:outlineLvl w:val="1"/>
    </w:pPr>
    <w:rPr>
      <w:rFonts w:ascii="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14437"/>
    <w:pPr>
      <w:tabs>
        <w:tab w:val="center" w:pos="4536"/>
        <w:tab w:val="right" w:pos="9072"/>
      </w:tabs>
    </w:pPr>
  </w:style>
  <w:style w:type="character" w:customStyle="1" w:styleId="KopfzeileZchn">
    <w:name w:val="Kopfzeile Zchn"/>
    <w:basedOn w:val="Absatz-Standardschriftart"/>
    <w:link w:val="Kopfzeile"/>
    <w:rsid w:val="00E14437"/>
    <w:rPr>
      <w:rFonts w:ascii="Arial Narrow" w:eastAsia="Times New Roman" w:hAnsi="Arial Narrow" w:cs="Arial"/>
      <w:sz w:val="28"/>
      <w:szCs w:val="20"/>
      <w:lang w:eastAsia="de-DE"/>
    </w:rPr>
  </w:style>
  <w:style w:type="paragraph" w:styleId="Fuzeile">
    <w:name w:val="footer"/>
    <w:basedOn w:val="Standard"/>
    <w:link w:val="FuzeileZchn"/>
    <w:uiPriority w:val="99"/>
    <w:rsid w:val="00E14437"/>
    <w:pPr>
      <w:tabs>
        <w:tab w:val="center" w:pos="4536"/>
        <w:tab w:val="right" w:pos="9072"/>
      </w:tabs>
    </w:pPr>
  </w:style>
  <w:style w:type="character" w:customStyle="1" w:styleId="FuzeileZchn">
    <w:name w:val="Fußzeile Zchn"/>
    <w:basedOn w:val="Absatz-Standardschriftart"/>
    <w:link w:val="Fuzeile"/>
    <w:uiPriority w:val="99"/>
    <w:rsid w:val="00E14437"/>
    <w:rPr>
      <w:rFonts w:ascii="Arial Narrow" w:eastAsia="Times New Roman" w:hAnsi="Arial Narrow" w:cs="Arial"/>
      <w:sz w:val="28"/>
      <w:szCs w:val="20"/>
      <w:lang w:eastAsia="de-DE"/>
    </w:rPr>
  </w:style>
  <w:style w:type="paragraph" w:styleId="Sprechblasentext">
    <w:name w:val="Balloon Text"/>
    <w:basedOn w:val="Standard"/>
    <w:link w:val="SprechblasentextZchn"/>
    <w:uiPriority w:val="99"/>
    <w:semiHidden/>
    <w:unhideWhenUsed/>
    <w:rsid w:val="00E1443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4437"/>
    <w:rPr>
      <w:rFonts w:ascii="Tahoma" w:eastAsia="Times New Roman" w:hAnsi="Tahoma" w:cs="Tahoma"/>
      <w:sz w:val="16"/>
      <w:szCs w:val="16"/>
      <w:lang w:eastAsia="de-DE"/>
    </w:rPr>
  </w:style>
  <w:style w:type="character" w:customStyle="1" w:styleId="berschrift2Zchn">
    <w:name w:val="Überschrift 2 Zchn"/>
    <w:basedOn w:val="Absatz-Standardschriftart"/>
    <w:link w:val="berschrift2"/>
    <w:uiPriority w:val="9"/>
    <w:rsid w:val="00446C89"/>
    <w:rPr>
      <w:rFonts w:ascii="Times New Roman" w:eastAsia="Times New Roman" w:hAnsi="Times New Roman" w:cs="Times New Roman"/>
      <w:b/>
      <w:bCs/>
      <w:sz w:val="36"/>
      <w:szCs w:val="36"/>
      <w:lang w:eastAsia="de-DE"/>
    </w:rPr>
  </w:style>
  <w:style w:type="paragraph" w:styleId="Listenabsatz">
    <w:name w:val="List Paragraph"/>
    <w:basedOn w:val="Standard"/>
    <w:uiPriority w:val="34"/>
    <w:qFormat/>
    <w:rsid w:val="00204E5C"/>
    <w:pPr>
      <w:spacing w:line="276" w:lineRule="auto"/>
      <w:ind w:left="720"/>
      <w:contextualSpacing/>
    </w:pPr>
    <w:rPr>
      <w:rFonts w:ascii="Times New Roman" w:eastAsia="Calibri" w:hAnsi="Times New Roman" w:cs="Times New Roman"/>
      <w:sz w:val="24"/>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02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9834C-FB5C-415B-BF2B-483B16490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162C08BC.dotm</Template>
  <TotalTime>0</TotalTime>
  <Pages>2</Pages>
  <Words>1979</Words>
  <Characters>12470</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Brjanzew</dc:creator>
  <cp:lastModifiedBy>Kirchberg-Krueger, Gisela</cp:lastModifiedBy>
  <cp:revision>4</cp:revision>
  <cp:lastPrinted>2016-04-28T16:44:00Z</cp:lastPrinted>
  <dcterms:created xsi:type="dcterms:W3CDTF">2016-06-09T21:31:00Z</dcterms:created>
  <dcterms:modified xsi:type="dcterms:W3CDTF">2016-06-14T05:45:00Z</dcterms:modified>
</cp:coreProperties>
</file>