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EDD" w:rsidRPr="0030431E" w:rsidRDefault="00A81EDD" w:rsidP="0030431E">
      <w:pPr>
        <w:rPr>
          <w:sz w:val="20"/>
        </w:rPr>
      </w:pPr>
      <w:r>
        <w:rPr>
          <w:sz w:val="20"/>
        </w:rPr>
        <w:t>Wolfgang Brjanzew</w:t>
      </w:r>
    </w:p>
    <w:p w:rsidR="00A81EDD" w:rsidRPr="0030431E" w:rsidRDefault="00A81EDD" w:rsidP="0030431E">
      <w:pPr>
        <w:rPr>
          <w:b/>
          <w:szCs w:val="28"/>
        </w:rPr>
      </w:pPr>
      <w:r w:rsidRPr="0030431E">
        <w:rPr>
          <w:b/>
          <w:szCs w:val="28"/>
        </w:rPr>
        <w:t xml:space="preserve">Reformation - Historische Hintergründe und Entwicklungen im Überblick </w:t>
      </w:r>
    </w:p>
    <w:p w:rsidR="00A81EDD" w:rsidRPr="0030431E" w:rsidRDefault="00A81EDD" w:rsidP="0030431E">
      <w:pPr>
        <w:rPr>
          <w:b/>
          <w:sz w:val="20"/>
        </w:rPr>
      </w:pPr>
    </w:p>
    <w:p w:rsidR="00A81EDD" w:rsidRPr="0030431E" w:rsidRDefault="00A81EDD" w:rsidP="0030431E">
      <w:pPr>
        <w:jc w:val="both"/>
        <w:rPr>
          <w:sz w:val="20"/>
        </w:rPr>
      </w:pPr>
      <w:r w:rsidRPr="0030431E">
        <w:rPr>
          <w:sz w:val="20"/>
        </w:rPr>
        <w:t xml:space="preserve">Im ausgehenden Mittelalter hatte sich die Kirche zum Teil weit von ihren Ursprüngen und der biblischen Botschaft entfernt. Dagegen wurden sowohl unter kirchlichen Amtsträgern als auch in der Bevölkerung kritische Stimmen laut. Sie warfen der Kirche Verweltlichung, Machtgier, Prunksucht, einen oft luxuriösen Lebensstil ihrer Führer, Heuchelei, Bestechlichkeit und eine Vernachlässigung ihrer eigentlichen Aufgaben vor. Statt pompöse Paläste zu bauen, lukrative Ämter gegen Geld zu verkaufen, von den Gläubigen hohe Abgaben zu fordern und eine unbiblische Heiligen- und Reliquienverehrung zu fördern, sollte sie lieber apostolische Armut praktizieren, in verständlicher Weise den Menschen das Evangelium verkündigen, Seelsorge treiben und sich um die Notleidenden kümmern. </w:t>
      </w:r>
    </w:p>
    <w:p w:rsidR="00A81EDD" w:rsidRPr="0030431E" w:rsidRDefault="00A81EDD" w:rsidP="0030431E">
      <w:pPr>
        <w:jc w:val="both"/>
        <w:rPr>
          <w:sz w:val="20"/>
        </w:rPr>
      </w:pPr>
    </w:p>
    <w:p w:rsidR="00A81EDD" w:rsidRPr="0030431E" w:rsidRDefault="00A81EDD" w:rsidP="0030431E">
      <w:pPr>
        <w:jc w:val="both"/>
        <w:rPr>
          <w:sz w:val="20"/>
        </w:rPr>
      </w:pPr>
      <w:r w:rsidRPr="0030431E">
        <w:rPr>
          <w:sz w:val="20"/>
        </w:rPr>
        <w:t>Immer wieder forderten Menschen, denen das Wohl ihrer Kirche am Herzen lag, nicht nur kleine "kosmetische" Korrekturen, sondern eine grundsätzliche</w:t>
      </w:r>
      <w:r w:rsidRPr="0030431E">
        <w:rPr>
          <w:b/>
          <w:sz w:val="20"/>
        </w:rPr>
        <w:t xml:space="preserve"> Reform der Kirche "an Haupt und Gliedern"</w:t>
      </w:r>
      <w:r w:rsidRPr="0030431E">
        <w:rPr>
          <w:sz w:val="20"/>
        </w:rPr>
        <w:t xml:space="preserve">. Zu ihnen zählten bereits im ausgehenden 14. Jahrhundert unter anderem der englische Philosoph und Kirchenreformer </w:t>
      </w:r>
      <w:r w:rsidRPr="0030431E">
        <w:rPr>
          <w:b/>
          <w:sz w:val="20"/>
        </w:rPr>
        <w:t>John Wyclif</w:t>
      </w:r>
      <w:r w:rsidRPr="0030431E">
        <w:rPr>
          <w:sz w:val="20"/>
        </w:rPr>
        <w:t xml:space="preserve"> und etwas später der aus dem heutigen Tschechien stammende Theologe </w:t>
      </w:r>
      <w:r w:rsidRPr="0030431E">
        <w:rPr>
          <w:b/>
          <w:sz w:val="20"/>
        </w:rPr>
        <w:t>Jan Hus</w:t>
      </w:r>
      <w:r w:rsidRPr="0030431E">
        <w:rPr>
          <w:sz w:val="20"/>
        </w:rPr>
        <w:t xml:space="preserve">. Dieser wurde 1415 wegen seiner Kritik an der Kirche und am Papsttum in Konstanz als Ketzer verbrannt. Fast 100 Jahre später veröffentlichte der Wittenberger Augustinermönch und Theologieprofessor </w:t>
      </w:r>
      <w:r w:rsidRPr="0030431E">
        <w:rPr>
          <w:b/>
          <w:sz w:val="20"/>
        </w:rPr>
        <w:t xml:space="preserve">Dr. Martin Luther </w:t>
      </w:r>
      <w:r w:rsidRPr="0030431E">
        <w:rPr>
          <w:sz w:val="20"/>
        </w:rPr>
        <w:t xml:space="preserve">seine berühmten </w:t>
      </w:r>
      <w:r w:rsidRPr="0030431E">
        <w:rPr>
          <w:b/>
          <w:sz w:val="20"/>
        </w:rPr>
        <w:t>95 Thesen</w:t>
      </w:r>
      <w:r w:rsidRPr="0030431E">
        <w:rPr>
          <w:sz w:val="20"/>
        </w:rPr>
        <w:t xml:space="preserve"> gegen den Ablasshandel der Kirche. Darin verwarf er die kirchliche Praxis, den Menschen gegen entsprechende Bezahlung den Erlass zeitlicher Sündenstrafen zu verkaufen. Er verwies darauf, dass Gott nicht käuflich sei und dass es zur Vergebung der Sünden allein der Gnade Gottes und der Reue des Sünders bedürfe. Dank der noch nicht lange zuvor entwickelten Drucktechnik fanden Luthers Thesen eine rasche Verbreitung. </w:t>
      </w:r>
      <w:r w:rsidRPr="0030431E">
        <w:rPr>
          <w:b/>
          <w:sz w:val="20"/>
        </w:rPr>
        <w:t>Am 31. Oktober 1517</w:t>
      </w:r>
      <w:r w:rsidRPr="0030431E">
        <w:rPr>
          <w:sz w:val="20"/>
        </w:rPr>
        <w:t xml:space="preserve"> soll er sie außerdem an der </w:t>
      </w:r>
      <w:r w:rsidRPr="0030431E">
        <w:rPr>
          <w:b/>
          <w:sz w:val="20"/>
        </w:rPr>
        <w:t>Tür der Schlosskirche in Wittenberg</w:t>
      </w:r>
      <w:r w:rsidRPr="0030431E">
        <w:rPr>
          <w:sz w:val="20"/>
        </w:rPr>
        <w:t xml:space="preserve"> angeschlagen haben. Auf diese Weise, wurde damals zu einem wissenschaftlichen Streitgespräch eingeladen. Und gestritten wurde dann auch in der Tat, und zwar heftig. Was Martin Luther in jenen Tagen und sein ganzes weiteres Leben hindurch über Kanzel und Katheder sowie mittels der Medien seiner Zeit an Kirchenkritik und kritischer Theologie verbreitete, löste heftige Bewegungen aus. Dabei war Luther nur eine von vielen herausragenden Persönlichkeiten, die das Gesicht der Reformation prägten. Stellvertretend für sie sollen in diesem Zusammenhang noch </w:t>
      </w:r>
      <w:r w:rsidRPr="0030431E">
        <w:rPr>
          <w:b/>
          <w:sz w:val="20"/>
        </w:rPr>
        <w:t>Philipp Melanchthon</w:t>
      </w:r>
      <w:r w:rsidRPr="0030431E">
        <w:rPr>
          <w:sz w:val="20"/>
        </w:rPr>
        <w:t xml:space="preserve">, </w:t>
      </w:r>
      <w:r w:rsidRPr="0030431E">
        <w:rPr>
          <w:b/>
          <w:sz w:val="20"/>
        </w:rPr>
        <w:t>Johannes Calvin</w:t>
      </w:r>
      <w:r w:rsidRPr="0030431E">
        <w:rPr>
          <w:sz w:val="20"/>
        </w:rPr>
        <w:t xml:space="preserve"> und </w:t>
      </w:r>
      <w:r w:rsidRPr="0030431E">
        <w:rPr>
          <w:b/>
          <w:sz w:val="20"/>
        </w:rPr>
        <w:t>Huldrych Zwingli</w:t>
      </w:r>
      <w:r w:rsidRPr="0030431E">
        <w:rPr>
          <w:sz w:val="20"/>
        </w:rPr>
        <w:t xml:space="preserve"> namentliche Erwähnung finden. </w:t>
      </w:r>
    </w:p>
    <w:p w:rsidR="00A81EDD" w:rsidRPr="0030431E" w:rsidRDefault="00A81EDD" w:rsidP="0030431E">
      <w:pPr>
        <w:jc w:val="both"/>
        <w:rPr>
          <w:sz w:val="20"/>
        </w:rPr>
      </w:pPr>
    </w:p>
    <w:p w:rsidR="00A81EDD" w:rsidRPr="0030431E" w:rsidRDefault="00A81EDD" w:rsidP="0030431E">
      <w:pPr>
        <w:jc w:val="both"/>
        <w:rPr>
          <w:sz w:val="20"/>
        </w:rPr>
      </w:pPr>
      <w:r w:rsidRPr="0030431E">
        <w:rPr>
          <w:sz w:val="20"/>
        </w:rPr>
        <w:t xml:space="preserve">Der durch die 95 Thesen Luthers provozierte Streit um den Ablass wurde letztlich zu einer Auseinandersetzung um die Autorität der Kirche. Luther argumentierte auf der Grundlage der Bibel und übte Kritik am geistlichen Stand, am Amt des Papstes und an den Konzilien. Auf dem </w:t>
      </w:r>
      <w:r w:rsidRPr="0030431E">
        <w:rPr>
          <w:rStyle w:val="Strong"/>
          <w:rFonts w:cs="Arial"/>
          <w:sz w:val="20"/>
        </w:rPr>
        <w:t>Reichstag in Worms</w:t>
      </w:r>
      <w:r w:rsidRPr="0030431E">
        <w:rPr>
          <w:sz w:val="20"/>
        </w:rPr>
        <w:t xml:space="preserve"> </w:t>
      </w:r>
      <w:r w:rsidRPr="0030431E">
        <w:rPr>
          <w:b/>
          <w:sz w:val="20"/>
        </w:rPr>
        <w:t>1521</w:t>
      </w:r>
      <w:r w:rsidRPr="0030431E">
        <w:rPr>
          <w:sz w:val="20"/>
        </w:rPr>
        <w:t xml:space="preserve"> verweigerte Luther den von ihm geforderten Widerruf seiner Lehren. Dabei berief er sich auf sein Gewissen. Auf Grund seiner Widerständigkeit wurde er mit dem kirchlichen Bann und der Reichsacht belegt. Auf dem </w:t>
      </w:r>
      <w:r w:rsidRPr="0030431E">
        <w:rPr>
          <w:rStyle w:val="Strong"/>
          <w:rFonts w:cs="Arial"/>
          <w:sz w:val="20"/>
        </w:rPr>
        <w:t>Reichstag zu Speyer 1529 kam es</w:t>
      </w:r>
      <w:r w:rsidRPr="0030431E">
        <w:rPr>
          <w:sz w:val="20"/>
        </w:rPr>
        <w:t xml:space="preserve"> zur sogenannten </w:t>
      </w:r>
      <w:r w:rsidRPr="0030431E">
        <w:rPr>
          <w:b/>
          <w:sz w:val="20"/>
        </w:rPr>
        <w:t xml:space="preserve">Protestation </w:t>
      </w:r>
      <w:r w:rsidRPr="0030431E">
        <w:rPr>
          <w:sz w:val="20"/>
        </w:rPr>
        <w:t>der evangelischen Minderheit unter den Reichsfürsten. Dies</w:t>
      </w:r>
      <w:r>
        <w:rPr>
          <w:sz w:val="20"/>
        </w:rPr>
        <w:t xml:space="preserve">er Begriff führte </w:t>
      </w:r>
      <w:r w:rsidRPr="0030431E">
        <w:rPr>
          <w:sz w:val="20"/>
        </w:rPr>
        <w:t xml:space="preserve">dazu, dass evangelische Christen unter anderem als "Protestanten" bezeichnet wurden. Auf dem </w:t>
      </w:r>
      <w:r w:rsidRPr="0030431E">
        <w:rPr>
          <w:b/>
          <w:sz w:val="20"/>
        </w:rPr>
        <w:t>Reichstag zu Augsburg</w:t>
      </w:r>
      <w:r w:rsidRPr="0030431E">
        <w:rPr>
          <w:sz w:val="20"/>
        </w:rPr>
        <w:t xml:space="preserve"> wurde </w:t>
      </w:r>
      <w:r w:rsidRPr="0030431E">
        <w:rPr>
          <w:b/>
          <w:sz w:val="20"/>
        </w:rPr>
        <w:t>1530</w:t>
      </w:r>
      <w:r w:rsidRPr="0030431E">
        <w:rPr>
          <w:sz w:val="20"/>
        </w:rPr>
        <w:t xml:space="preserve"> erneut versucht, die Einheit von Kirche und Reich herzustellen. Dabei legte die lutherische Seite eine unter der Federführung Philipp Melanchthons erstellte Zusammenfassung der evangelischen Lehre vor, das </w:t>
      </w:r>
      <w:r w:rsidRPr="0030431E">
        <w:rPr>
          <w:b/>
          <w:sz w:val="20"/>
        </w:rPr>
        <w:t>Augsburgische Bekenntnis</w:t>
      </w:r>
      <w:r w:rsidRPr="0030431E">
        <w:rPr>
          <w:sz w:val="20"/>
        </w:rPr>
        <w:t xml:space="preserve"> (Confessio  Augustana). Mit dieser gegenüber der altgläubigen Partei versöhnlich gehaltenen Schrift, sollte der Nachweis erbracht werden, dass die lutherische Theologie sich im Rahmen der allgemeinen kirchlichen Lehre bewegte. Dennoch kam es zum Bruch zwischen den Vertretern der evangelischen und der altgläubigen Seite. Bis heute verstehen die lutherischen Kirchen weltweit das "Augsburgische Bekenntnis" als ihre gemeinsame Bekenntnisgrundlage. Nachdem es im Zusammenhang mit einem in Marburg </w:t>
      </w:r>
      <w:r w:rsidRPr="0030431E">
        <w:rPr>
          <w:b/>
          <w:sz w:val="20"/>
        </w:rPr>
        <w:t>1529</w:t>
      </w:r>
      <w:r w:rsidRPr="0030431E">
        <w:rPr>
          <w:sz w:val="20"/>
        </w:rPr>
        <w:t xml:space="preserve"> abgehaltenen Lehrgespräch </w:t>
      </w:r>
      <w:r w:rsidRPr="0030431E">
        <w:rPr>
          <w:b/>
          <w:sz w:val="20"/>
        </w:rPr>
        <w:t>(Marburger Disputation)</w:t>
      </w:r>
      <w:r w:rsidRPr="0030431E">
        <w:rPr>
          <w:sz w:val="20"/>
        </w:rPr>
        <w:t xml:space="preserve"> zwischen Martin Luther und Huldrych Zwingli zu keiner Verständigung über Fragen des Abendmahlsverständnisses gekommen war, gingen der lutherische und der reformierte Flügel der Reformation für lange Zeit weitgehend getrennte Wege. Das Luthertum verbreitete sich dabei über die deutschen Territorien, während der Calvinismus zunächst überwiegend auf das Gebiet der Schweiz beschränkt blieb. </w:t>
      </w:r>
    </w:p>
    <w:p w:rsidR="00A81EDD" w:rsidRPr="0030431E" w:rsidRDefault="00A81EDD" w:rsidP="0030431E">
      <w:pPr>
        <w:jc w:val="both"/>
        <w:rPr>
          <w:sz w:val="20"/>
        </w:rPr>
      </w:pPr>
    </w:p>
    <w:p w:rsidR="00A81EDD" w:rsidRPr="0030431E" w:rsidRDefault="00A81EDD" w:rsidP="0030431E">
      <w:pPr>
        <w:jc w:val="both"/>
        <w:rPr>
          <w:sz w:val="20"/>
        </w:rPr>
      </w:pPr>
      <w:r w:rsidRPr="0030431E">
        <w:rPr>
          <w:sz w:val="20"/>
        </w:rPr>
        <w:t xml:space="preserve">Als Luther und andere Reformatoren mitsamt ihren Anhängern aus der Kirche ausgeschlossen wurden, entwickelten sich in verschiedenen Territorien relativ schnell eigenständige evangelische Kirchen in bewusster Absetzung von der papsttreuen römisch-katholischen Kirche. Mit der Bezeichnung </w:t>
      </w:r>
      <w:r w:rsidRPr="0030431E">
        <w:rPr>
          <w:b/>
          <w:sz w:val="20"/>
        </w:rPr>
        <w:t>"evangelisch"</w:t>
      </w:r>
      <w:r w:rsidRPr="0030431E">
        <w:rPr>
          <w:sz w:val="20"/>
        </w:rPr>
        <w:t xml:space="preserve"> sollte unterstrichen werden, dass die reformatorischen Kirchen sich vor allem auf das Evangelium gründeten und die Heilige Schrift als wichtigste Quelle und oberste Richtschnur des Glaubens betrachteten. Für die evangelischen Christen stand die Bibel über aller kirchlichen und weltlichen Autorität. </w:t>
      </w:r>
      <w:r w:rsidRPr="0030431E">
        <w:rPr>
          <w:b/>
          <w:sz w:val="20"/>
        </w:rPr>
        <w:t>1531</w:t>
      </w:r>
      <w:r w:rsidRPr="0030431E">
        <w:rPr>
          <w:sz w:val="20"/>
        </w:rPr>
        <w:t xml:space="preserve"> schlossen sich die lutherischen Bekenntnisstände im </w:t>
      </w:r>
      <w:r w:rsidRPr="0030431E">
        <w:rPr>
          <w:rStyle w:val="Strong"/>
          <w:rFonts w:cs="Arial"/>
          <w:sz w:val="20"/>
        </w:rPr>
        <w:t>Schmalkaldischen Bund</w:t>
      </w:r>
      <w:r w:rsidRPr="0030431E">
        <w:rPr>
          <w:sz w:val="20"/>
        </w:rPr>
        <w:t xml:space="preserve"> gegen den Kaiser zusammen und zwangen diesen </w:t>
      </w:r>
      <w:r w:rsidRPr="0030431E">
        <w:rPr>
          <w:b/>
          <w:sz w:val="20"/>
        </w:rPr>
        <w:t>1532</w:t>
      </w:r>
      <w:r w:rsidRPr="0030431E">
        <w:rPr>
          <w:sz w:val="20"/>
        </w:rPr>
        <w:t xml:space="preserve"> im </w:t>
      </w:r>
      <w:r w:rsidRPr="0030431E">
        <w:rPr>
          <w:rStyle w:val="Strong"/>
          <w:rFonts w:cs="Arial"/>
          <w:sz w:val="20"/>
        </w:rPr>
        <w:t>Nürnberger Religionsfrieden</w:t>
      </w:r>
      <w:r w:rsidRPr="0030431E">
        <w:rPr>
          <w:sz w:val="20"/>
        </w:rPr>
        <w:t xml:space="preserve">, ihren Forderungen nach Selbständigkeit nachzugeben. </w:t>
      </w:r>
      <w:r w:rsidRPr="0030431E">
        <w:rPr>
          <w:b/>
          <w:sz w:val="20"/>
        </w:rPr>
        <w:t>1555</w:t>
      </w:r>
      <w:r w:rsidRPr="0030431E">
        <w:rPr>
          <w:sz w:val="20"/>
        </w:rPr>
        <w:t xml:space="preserve"> wurde diese Vereinbarung durch den sogenannten </w:t>
      </w:r>
      <w:r w:rsidRPr="0030431E">
        <w:rPr>
          <w:b/>
          <w:sz w:val="20"/>
        </w:rPr>
        <w:t>Augsburger Religionsfrieden</w:t>
      </w:r>
      <w:r w:rsidRPr="0030431E">
        <w:rPr>
          <w:sz w:val="20"/>
        </w:rPr>
        <w:t xml:space="preserve"> ergänzt. Damit war Deutschland auch staatsrechtlich in zwei Konfessionen gespalten. Die damit verbundenen vertraglichen Regelungen waren vor allem aus politischen Zwängen und Opportunitäten heraus zustande gekommen. Sie erwiesen sich vielfach als wenig stabile Grundlage für eine friedliche Koexistenz zwischen der evangelischen und der römisch-katholischen Seite und konnten nicht verhindern, dass es in der Folgezeit zu religiös begründeten Auseinandersetzungen und Konflikten vor allem im Rahmen des </w:t>
      </w:r>
      <w:r w:rsidRPr="0030431E">
        <w:rPr>
          <w:b/>
          <w:sz w:val="20"/>
        </w:rPr>
        <w:t>30-jährigen Krieges</w:t>
      </w:r>
      <w:r w:rsidRPr="0030431E">
        <w:rPr>
          <w:sz w:val="20"/>
        </w:rPr>
        <w:t xml:space="preserve"> kam. Er wurde </w:t>
      </w:r>
      <w:r w:rsidRPr="0030431E">
        <w:rPr>
          <w:b/>
          <w:sz w:val="20"/>
        </w:rPr>
        <w:t>1648</w:t>
      </w:r>
      <w:r w:rsidRPr="0030431E">
        <w:rPr>
          <w:sz w:val="20"/>
        </w:rPr>
        <w:t xml:space="preserve"> durch den </w:t>
      </w:r>
      <w:r w:rsidRPr="0030431E">
        <w:rPr>
          <w:b/>
          <w:sz w:val="20"/>
        </w:rPr>
        <w:t>Westfälischen Frieden</w:t>
      </w:r>
      <w:r w:rsidRPr="0030431E">
        <w:rPr>
          <w:sz w:val="20"/>
        </w:rPr>
        <w:t xml:space="preserve"> beendet, der erstmals zu einer gewissen Stabilität in Europa beitrug.</w:t>
      </w:r>
    </w:p>
    <w:p w:rsidR="00A81EDD" w:rsidRDefault="00A81EDD" w:rsidP="0030431E">
      <w:pPr>
        <w:jc w:val="both"/>
        <w:rPr>
          <w:sz w:val="16"/>
          <w:szCs w:val="16"/>
        </w:rPr>
      </w:pPr>
    </w:p>
    <w:p w:rsidR="00A81EDD" w:rsidRPr="00EB3BEF" w:rsidRDefault="00A81EDD" w:rsidP="0030431E">
      <w:pPr>
        <w:jc w:val="both"/>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6" type="#_x0000_t75" style="position:absolute;left:0;text-align:left;margin-left:1.25pt;margin-top:628.65pt;width:70.15pt;height:93pt;z-index:251658240;visibility:visible;mso-position-horizontal-relative:margin;mso-position-vertical-relative:margin">
            <v:imagedata r:id="rId7" o:title=""/>
            <w10:wrap type="square" anchorx="margin" anchory="margin"/>
          </v:shape>
        </w:pict>
      </w:r>
    </w:p>
    <w:p w:rsidR="00A81EDD" w:rsidRPr="0030431E" w:rsidRDefault="00A81EDD" w:rsidP="0030431E">
      <w:pPr>
        <w:pStyle w:val="ListParagraph"/>
        <w:autoSpaceDE w:val="0"/>
        <w:autoSpaceDN w:val="0"/>
        <w:adjustRightInd w:val="0"/>
        <w:ind w:left="0"/>
        <w:rPr>
          <w:rFonts w:ascii="Arial Narrow" w:hAnsi="Arial Narrow" w:cs="Calibri"/>
          <w:color w:val="000000"/>
          <w:sz w:val="20"/>
          <w:szCs w:val="20"/>
        </w:rPr>
      </w:pPr>
      <w:r w:rsidRPr="0030431E">
        <w:rPr>
          <w:rFonts w:ascii="Arial Narrow" w:hAnsi="Arial Narrow"/>
          <w:b/>
          <w:noProof/>
          <w:color w:val="000000"/>
          <w:sz w:val="20"/>
          <w:szCs w:val="20"/>
          <w:lang w:eastAsia="de-DE"/>
        </w:rPr>
        <w:t>Wolfgang Brjanzew</w:t>
      </w:r>
      <w:r w:rsidRPr="0030431E">
        <w:rPr>
          <w:rFonts w:ascii="Arial Narrow" w:hAnsi="Arial Narrow"/>
          <w:noProof/>
          <w:color w:val="000000"/>
          <w:sz w:val="20"/>
          <w:szCs w:val="20"/>
          <w:lang w:eastAsia="de-DE"/>
        </w:rPr>
        <w:t xml:space="preserve"> </w:t>
      </w:r>
      <w:r w:rsidRPr="0030431E">
        <w:rPr>
          <w:rFonts w:ascii="Arial Narrow" w:hAnsi="Arial Narrow"/>
          <w:color w:val="000000"/>
          <w:sz w:val="20"/>
          <w:szCs w:val="20"/>
        </w:rPr>
        <w:t xml:space="preserve"> ist Dekadebeauftragter der Evang. Landeskirche in Baden für das Jubiläum "500 Jahre Reformation - 2017". In dieser Funktion ist er geschäftsführend und inhaltlich gestaltend verantwortlich </w:t>
      </w:r>
      <w:r w:rsidRPr="0030431E">
        <w:rPr>
          <w:rFonts w:ascii="Arial Narrow" w:hAnsi="Arial Narrow" w:cs="Calibri"/>
          <w:color w:val="000000"/>
          <w:sz w:val="20"/>
          <w:szCs w:val="20"/>
        </w:rPr>
        <w:t xml:space="preserve">für die Entwicklung, Begleitung und Koordination von Angeboten und Projekten im Rahmen des Reformationsgedenkens und der gesamten Reformationsdekade. Außerdem ist er im Rahmen seiner Beauftragung auch publizistisch und für Fragen der  Öffentlichkeitsarbeit zuständig. Ferner fungiert er in Sachen Reformationsjubiläum als landeskirchlicher Verbindungsmann zur EKD, zur Ökumene, zur Politik, zum Kulturbetrieb und zu den verschiedensten gesellschaftlichen Organisationen und Gruppierungen. </w:t>
      </w:r>
      <w:r w:rsidRPr="0030431E">
        <w:rPr>
          <w:rFonts w:ascii="Arial Narrow" w:hAnsi="Arial Narrow" w:cs="Calibri"/>
          <w:color w:val="000000"/>
          <w:sz w:val="20"/>
          <w:szCs w:val="20"/>
        </w:rPr>
        <w:br/>
      </w:r>
    </w:p>
    <w:sectPr w:rsidR="00A81EDD" w:rsidRPr="0030431E" w:rsidSect="00006F6C">
      <w:headerReference w:type="default" r:id="rId8"/>
      <w:footerReference w:type="default" r:id="rId9"/>
      <w:pgSz w:w="11907" w:h="16840" w:code="9"/>
      <w:pgMar w:top="720" w:right="851" w:bottom="720" w:left="851" w:header="397" w:footer="680"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EDD" w:rsidRDefault="00A81EDD" w:rsidP="00B260D4">
      <w:r>
        <w:separator/>
      </w:r>
    </w:p>
  </w:endnote>
  <w:endnote w:type="continuationSeparator" w:id="0">
    <w:p w:rsidR="00A81EDD" w:rsidRDefault="00A81EDD" w:rsidP="00B26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EDD" w:rsidRPr="00167A34" w:rsidRDefault="00A81EDD">
    <w:pPr>
      <w:pStyle w:val="Footer"/>
      <w:jc w:val="center"/>
      <w:rPr>
        <w:sz w:val="22"/>
        <w:szCs w:val="22"/>
      </w:rPr>
    </w:pPr>
  </w:p>
  <w:p w:rsidR="00A81EDD" w:rsidRDefault="00A81E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EDD" w:rsidRDefault="00A81EDD" w:rsidP="00B260D4">
      <w:r>
        <w:separator/>
      </w:r>
    </w:p>
  </w:footnote>
  <w:footnote w:type="continuationSeparator" w:id="0">
    <w:p w:rsidR="00A81EDD" w:rsidRDefault="00A81EDD" w:rsidP="00B26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EDD" w:rsidRDefault="00A81EDD">
    <w:pPr>
      <w:pStyle w:val="Header"/>
      <w:jc w:val="center"/>
      <w:rPr>
        <w:b/>
        <w:bCs/>
        <w:snapToGrid w:val="0"/>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8E0"/>
    <w:multiLevelType w:val="multilevel"/>
    <w:tmpl w:val="C35E82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5887"/>
    <w:rsid w:val="00006F6C"/>
    <w:rsid w:val="0000787D"/>
    <w:rsid w:val="0008132B"/>
    <w:rsid w:val="000E4AF5"/>
    <w:rsid w:val="00105EE5"/>
    <w:rsid w:val="00122FD5"/>
    <w:rsid w:val="00134480"/>
    <w:rsid w:val="00167A34"/>
    <w:rsid w:val="001D7A7D"/>
    <w:rsid w:val="00245625"/>
    <w:rsid w:val="00261EE1"/>
    <w:rsid w:val="002E49D3"/>
    <w:rsid w:val="0030431E"/>
    <w:rsid w:val="00364C7A"/>
    <w:rsid w:val="0038215E"/>
    <w:rsid w:val="00446C89"/>
    <w:rsid w:val="00474A8B"/>
    <w:rsid w:val="004E5FEA"/>
    <w:rsid w:val="005266B0"/>
    <w:rsid w:val="005A1A0F"/>
    <w:rsid w:val="005D2DCB"/>
    <w:rsid w:val="005E1C91"/>
    <w:rsid w:val="005E3E06"/>
    <w:rsid w:val="006D14F5"/>
    <w:rsid w:val="007316D4"/>
    <w:rsid w:val="00740848"/>
    <w:rsid w:val="0077026B"/>
    <w:rsid w:val="007B52CA"/>
    <w:rsid w:val="007D1297"/>
    <w:rsid w:val="007F1703"/>
    <w:rsid w:val="0081579C"/>
    <w:rsid w:val="00941073"/>
    <w:rsid w:val="00992AE4"/>
    <w:rsid w:val="009A41CD"/>
    <w:rsid w:val="009C174A"/>
    <w:rsid w:val="009E4CAF"/>
    <w:rsid w:val="009F65A3"/>
    <w:rsid w:val="00A2567E"/>
    <w:rsid w:val="00A33F43"/>
    <w:rsid w:val="00A75FC3"/>
    <w:rsid w:val="00A81EDD"/>
    <w:rsid w:val="00AD0733"/>
    <w:rsid w:val="00B260D4"/>
    <w:rsid w:val="00B36FA2"/>
    <w:rsid w:val="00BB3E87"/>
    <w:rsid w:val="00BF72BC"/>
    <w:rsid w:val="00CC1F85"/>
    <w:rsid w:val="00CD077E"/>
    <w:rsid w:val="00D23B0B"/>
    <w:rsid w:val="00DB5887"/>
    <w:rsid w:val="00E14437"/>
    <w:rsid w:val="00E1552C"/>
    <w:rsid w:val="00E521D9"/>
    <w:rsid w:val="00EB3BEF"/>
    <w:rsid w:val="00F0018B"/>
    <w:rsid w:val="00F21E50"/>
    <w:rsid w:val="00F705AE"/>
    <w:rsid w:val="00FA3DEE"/>
    <w:rsid w:val="00FD19EC"/>
    <w:rsid w:val="00FD47B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37"/>
    <w:rPr>
      <w:rFonts w:ascii="Arial Narrow" w:eastAsia="Times New Roman" w:hAnsi="Arial Narrow" w:cs="Arial"/>
      <w:sz w:val="28"/>
      <w:szCs w:val="20"/>
    </w:rPr>
  </w:style>
  <w:style w:type="paragraph" w:styleId="Heading2">
    <w:name w:val="heading 2"/>
    <w:basedOn w:val="Normal"/>
    <w:link w:val="Heading2Char"/>
    <w:uiPriority w:val="99"/>
    <w:qFormat/>
    <w:rsid w:val="00446C8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46C89"/>
    <w:rPr>
      <w:rFonts w:ascii="Times New Roman" w:hAnsi="Times New Roman" w:cs="Times New Roman"/>
      <w:b/>
      <w:bCs/>
      <w:sz w:val="36"/>
      <w:szCs w:val="36"/>
      <w:lang w:eastAsia="de-DE"/>
    </w:rPr>
  </w:style>
  <w:style w:type="paragraph" w:styleId="Header">
    <w:name w:val="header"/>
    <w:basedOn w:val="Normal"/>
    <w:link w:val="HeaderChar"/>
    <w:uiPriority w:val="99"/>
    <w:rsid w:val="00E14437"/>
    <w:pPr>
      <w:tabs>
        <w:tab w:val="center" w:pos="4536"/>
        <w:tab w:val="right" w:pos="9072"/>
      </w:tabs>
    </w:pPr>
  </w:style>
  <w:style w:type="character" w:customStyle="1" w:styleId="HeaderChar">
    <w:name w:val="Header Char"/>
    <w:basedOn w:val="DefaultParagraphFont"/>
    <w:link w:val="Header"/>
    <w:uiPriority w:val="99"/>
    <w:locked/>
    <w:rsid w:val="00E14437"/>
    <w:rPr>
      <w:rFonts w:ascii="Arial Narrow" w:hAnsi="Arial Narrow" w:cs="Arial"/>
      <w:sz w:val="20"/>
      <w:szCs w:val="20"/>
      <w:lang w:eastAsia="de-DE"/>
    </w:rPr>
  </w:style>
  <w:style w:type="paragraph" w:styleId="Footer">
    <w:name w:val="footer"/>
    <w:basedOn w:val="Normal"/>
    <w:link w:val="FooterChar"/>
    <w:uiPriority w:val="99"/>
    <w:rsid w:val="00E14437"/>
    <w:pPr>
      <w:tabs>
        <w:tab w:val="center" w:pos="4536"/>
        <w:tab w:val="right" w:pos="9072"/>
      </w:tabs>
    </w:pPr>
  </w:style>
  <w:style w:type="character" w:customStyle="1" w:styleId="FooterChar">
    <w:name w:val="Footer Char"/>
    <w:basedOn w:val="DefaultParagraphFont"/>
    <w:link w:val="Footer"/>
    <w:uiPriority w:val="99"/>
    <w:locked/>
    <w:rsid w:val="00E14437"/>
    <w:rPr>
      <w:rFonts w:ascii="Arial Narrow" w:hAnsi="Arial Narrow" w:cs="Arial"/>
      <w:sz w:val="20"/>
      <w:szCs w:val="20"/>
      <w:lang w:eastAsia="de-DE"/>
    </w:rPr>
  </w:style>
  <w:style w:type="paragraph" w:styleId="BalloonText">
    <w:name w:val="Balloon Text"/>
    <w:basedOn w:val="Normal"/>
    <w:link w:val="BalloonTextChar"/>
    <w:uiPriority w:val="99"/>
    <w:semiHidden/>
    <w:rsid w:val="00E144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4437"/>
    <w:rPr>
      <w:rFonts w:ascii="Tahoma" w:hAnsi="Tahoma" w:cs="Tahoma"/>
      <w:sz w:val="16"/>
      <w:szCs w:val="16"/>
      <w:lang w:eastAsia="de-DE"/>
    </w:rPr>
  </w:style>
  <w:style w:type="character" w:styleId="Strong">
    <w:name w:val="Strong"/>
    <w:basedOn w:val="DefaultParagraphFont"/>
    <w:uiPriority w:val="99"/>
    <w:qFormat/>
    <w:rsid w:val="0030431E"/>
    <w:rPr>
      <w:rFonts w:cs="Times New Roman"/>
      <w:b/>
      <w:bCs/>
    </w:rPr>
  </w:style>
  <w:style w:type="paragraph" w:styleId="ListParagraph">
    <w:name w:val="List Paragraph"/>
    <w:basedOn w:val="Normal"/>
    <w:uiPriority w:val="99"/>
    <w:qFormat/>
    <w:rsid w:val="0030431E"/>
    <w:pPr>
      <w:spacing w:line="276" w:lineRule="auto"/>
      <w:ind w:left="720"/>
      <w:contextualSpacing/>
    </w:pPr>
    <w:rPr>
      <w:rFonts w:ascii="Times New Roman" w:eastAsia="Calibri" w:hAnsi="Times New Roman" w:cs="Times New Roman"/>
      <w:sz w:val="24"/>
      <w:szCs w:val="22"/>
      <w:lang w:eastAsia="en-US"/>
    </w:rPr>
  </w:style>
</w:styles>
</file>

<file path=word/webSettings.xml><?xml version="1.0" encoding="utf-8"?>
<w:webSettings xmlns:r="http://schemas.openxmlformats.org/officeDocument/2006/relationships" xmlns:w="http://schemas.openxmlformats.org/wordprocessingml/2006/main">
  <w:divs>
    <w:div w:id="948395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935</Words>
  <Characters>5894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Wolfgang Brjanzew</dc:title>
  <dc:subject/>
  <dc:creator>Wolfgang Brjanzew</dc:creator>
  <cp:keywords/>
  <dc:description/>
  <cp:lastModifiedBy>Gisela Kirchberg-Krüger</cp:lastModifiedBy>
  <cp:revision>2</cp:revision>
  <cp:lastPrinted>2016-04-28T16:44:00Z</cp:lastPrinted>
  <dcterms:created xsi:type="dcterms:W3CDTF">2016-06-28T11:30:00Z</dcterms:created>
  <dcterms:modified xsi:type="dcterms:W3CDTF">2016-06-28T11:30:00Z</dcterms:modified>
</cp:coreProperties>
</file>