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D54" w:rsidRPr="006A68C9" w:rsidRDefault="00F82D54" w:rsidP="00F82D54">
      <w:pPr>
        <w:rPr>
          <w:rFonts w:ascii="Trebuchet MS" w:hAnsi="Trebuchet MS"/>
          <w:b/>
          <w:bCs/>
          <w:sz w:val="32"/>
          <w:szCs w:val="32"/>
        </w:rPr>
      </w:pPr>
      <w:r w:rsidRPr="006A68C9">
        <w:rPr>
          <w:rFonts w:ascii="Trebuchet MS" w:hAnsi="Trebuchet MS"/>
          <w:b/>
          <w:bCs/>
          <w:sz w:val="32"/>
          <w:szCs w:val="32"/>
        </w:rPr>
        <w:t>Kasualien als christliche Liebesdienste - Thesen zur Weiterentwicklung der Kasualpraxis in der Evangelischen Landeskirche in Baden</w:t>
      </w:r>
      <w:r w:rsidRPr="006A68C9">
        <w:rPr>
          <w:rFonts w:ascii="Trebuchet MS" w:hAnsi="Trebuchet MS"/>
          <w:b/>
          <w:bCs/>
          <w:sz w:val="32"/>
          <w:szCs w:val="32"/>
        </w:rPr>
        <w:br/>
      </w:r>
    </w:p>
    <w:p w:rsidR="00F82D54" w:rsidRPr="006A68C9" w:rsidRDefault="00F82D54" w:rsidP="00F82D54">
      <w:pPr>
        <w:ind w:left="567"/>
        <w:rPr>
          <w:rFonts w:ascii="Trebuchet MS" w:hAnsi="Trebuchet MS"/>
          <w:i/>
          <w:iCs/>
          <w:sz w:val="18"/>
          <w:szCs w:val="18"/>
        </w:rPr>
      </w:pPr>
      <w:r w:rsidRPr="00C84122">
        <w:rPr>
          <w:rFonts w:ascii="Trebuchet MS" w:hAnsi="Trebuchet MS"/>
          <w:i/>
          <w:iCs/>
          <w:szCs w:val="22"/>
        </w:rPr>
        <w:t>„Unsere Liebe darf nicht nur aus Worten und Lippenbekenntnissen bestehen. Sie soll sich in Taten zeigen und darin, dass sie der Wahrheit entspricht.</w:t>
      </w:r>
      <w:r w:rsidRPr="00C84122">
        <w:rPr>
          <w:rFonts w:ascii="Trebuchet MS" w:hAnsi="Trebuchet MS"/>
          <w:i/>
          <w:iCs/>
          <w:szCs w:val="22"/>
        </w:rPr>
        <w:br/>
      </w:r>
      <w:r w:rsidRPr="006A68C9">
        <w:rPr>
          <w:rFonts w:ascii="Trebuchet MS" w:hAnsi="Trebuchet MS"/>
          <w:i/>
          <w:iCs/>
          <w:sz w:val="18"/>
          <w:szCs w:val="18"/>
        </w:rPr>
        <w:t>(1 Johannes 3,18 in der Übersetzung der Basisbibel)</w:t>
      </w:r>
    </w:p>
    <w:p w:rsidR="00F82D54" w:rsidRPr="00F251BC" w:rsidRDefault="00F251BC" w:rsidP="00F251BC">
      <w:pPr>
        <w:pStyle w:val="Kommentartext"/>
        <w:rPr>
          <w:rFonts w:ascii="Trebuchet MS" w:hAnsi="Trebuchet MS"/>
          <w:sz w:val="22"/>
          <w:szCs w:val="22"/>
        </w:rPr>
      </w:pPr>
      <w:r w:rsidRPr="00F251BC">
        <w:rPr>
          <w:rFonts w:ascii="Trebuchet MS" w:hAnsi="Trebuchet MS"/>
          <w:sz w:val="22"/>
          <w:szCs w:val="22"/>
        </w:rPr>
        <w:t>Als Kirche feiern und verkündigen wir in unseren Gottesdiensten Gottes zuvorkommende Güte. Wir empfangen Gottes Segen als Stärkung zum Glauben und Leben. In den sogenannten Kasualien Taufe, Konfirmation, Trauung und Bestattung („Gottesdienste von Fall zu Fall“</w:t>
      </w:r>
      <w:r w:rsidRPr="00F251BC">
        <w:rPr>
          <w:rStyle w:val="Funotenzeichen"/>
          <w:rFonts w:ascii="Trebuchet MS" w:eastAsiaTheme="minorEastAsia" w:hAnsi="Trebuchet MS"/>
          <w:sz w:val="22"/>
          <w:szCs w:val="22"/>
        </w:rPr>
        <w:footnoteReference w:id="2"/>
      </w:r>
      <w:r w:rsidRPr="00F251BC">
        <w:rPr>
          <w:rFonts w:ascii="Trebuchet MS" w:hAnsi="Trebuchet MS"/>
          <w:sz w:val="22"/>
          <w:szCs w:val="22"/>
        </w:rPr>
        <w:t xml:space="preserve">) teilen wir diesen Segen mit einzelnen Menschen und familiären Gruppen. </w:t>
      </w:r>
      <w:r w:rsidR="00F82D54" w:rsidRPr="00F251BC">
        <w:rPr>
          <w:rFonts w:ascii="Trebuchet MS" w:hAnsi="Trebuchet MS"/>
          <w:sz w:val="22"/>
          <w:szCs w:val="22"/>
        </w:rPr>
        <w:t xml:space="preserve">Damit bietet </w:t>
      </w:r>
      <w:r>
        <w:rPr>
          <w:rFonts w:ascii="Trebuchet MS" w:hAnsi="Trebuchet MS"/>
          <w:sz w:val="22"/>
          <w:szCs w:val="22"/>
        </w:rPr>
        <w:t>unsere</w:t>
      </w:r>
      <w:r w:rsidR="00F82D54" w:rsidRPr="00F251BC">
        <w:rPr>
          <w:rFonts w:ascii="Trebuchet MS" w:hAnsi="Trebuchet MS"/>
          <w:sz w:val="22"/>
          <w:szCs w:val="22"/>
        </w:rPr>
        <w:t xml:space="preserve"> Kirche an herausgehobenen Lebensstationen die Möglichkeit, durch ein Heraustreten aus dem Alltag sich der Umbrüche im Leben bewusst zu werden und sich in diesen Umbrüchen auf Gott hin auszurichten.</w:t>
      </w:r>
    </w:p>
    <w:p w:rsidR="00F82D54" w:rsidRPr="006A68C9" w:rsidRDefault="00F251BC" w:rsidP="00F82D54">
      <w:pPr>
        <w:rPr>
          <w:rFonts w:ascii="Trebuchet MS" w:hAnsi="Trebuchet MS"/>
          <w:szCs w:val="22"/>
        </w:rPr>
      </w:pPr>
      <w:r w:rsidRPr="00F251BC">
        <w:rPr>
          <w:rFonts w:ascii="Trebuchet MS" w:hAnsi="Trebuchet MS"/>
        </w:rPr>
        <w:t>Als evangelische Kirche glauben wir</w:t>
      </w:r>
      <w:r w:rsidR="00F82D54" w:rsidRPr="00F251BC">
        <w:rPr>
          <w:rFonts w:ascii="Trebuchet MS" w:hAnsi="Trebuchet MS"/>
          <w:szCs w:val="22"/>
        </w:rPr>
        <w:t>, dass Menschen aufgrund der Taufe Priesterinnen und</w:t>
      </w:r>
      <w:r w:rsidR="00F82D54" w:rsidRPr="006A68C9">
        <w:rPr>
          <w:rFonts w:ascii="Trebuchet MS" w:hAnsi="Trebuchet MS"/>
          <w:szCs w:val="22"/>
        </w:rPr>
        <w:t xml:space="preserve"> Priester – also religionsmündige Christinnen und Christen sind. </w:t>
      </w:r>
      <w:r>
        <w:t xml:space="preserve">Mit dem Angebot der Kasualgottesdienste ermächtigen und unterstützen wir sie darin, </w:t>
      </w:r>
      <w:r w:rsidR="00F82D54" w:rsidRPr="006A68C9">
        <w:rPr>
          <w:rFonts w:ascii="Trebuchet MS" w:hAnsi="Trebuchet MS"/>
          <w:szCs w:val="22"/>
        </w:rPr>
        <w:t>ihrem Glauben in einer bestimmten lebensgeschichtlichen Situation eine individuelle und soziale Gestalt zu geben. Dazu lädt die evangelische Kirche auch Menschen ein, die keine Mitglieder sind, aber Interesse an solchen individuellen und sozialen Gestalten des christlichen Glaubens haben.Insofern sind Kasualien eine Chance zur Stärkung der Mitgliederbindung, eine Chance zur Glaubensstärkung und zur Öffnung der Türen für neue Mitglieder.</w:t>
      </w:r>
    </w:p>
    <w:p w:rsidR="00F251BC" w:rsidRPr="00F251BC" w:rsidRDefault="00F82D54" w:rsidP="00F251BC">
      <w:pPr>
        <w:pStyle w:val="Kommentartext"/>
        <w:rPr>
          <w:rFonts w:ascii="Trebuchet MS" w:hAnsi="Trebuchet MS"/>
          <w:sz w:val="22"/>
          <w:szCs w:val="22"/>
        </w:rPr>
      </w:pPr>
      <w:r w:rsidRPr="00F251BC">
        <w:rPr>
          <w:rFonts w:ascii="Trebuchet MS" w:hAnsi="Trebuchet MS"/>
          <w:sz w:val="22"/>
          <w:szCs w:val="22"/>
        </w:rPr>
        <w:t xml:space="preserve">Die Inanspruchnahme von Kasualien </w:t>
      </w:r>
      <w:r w:rsidR="00F251BC" w:rsidRPr="00F251BC">
        <w:rPr>
          <w:rFonts w:ascii="Trebuchet MS" w:hAnsi="Trebuchet MS"/>
          <w:sz w:val="22"/>
          <w:szCs w:val="22"/>
        </w:rPr>
        <w:t xml:space="preserve">hat aber </w:t>
      </w:r>
      <w:r w:rsidRPr="00F251BC">
        <w:rPr>
          <w:rFonts w:ascii="Trebuchet MS" w:hAnsi="Trebuchet MS"/>
          <w:sz w:val="22"/>
          <w:szCs w:val="22"/>
        </w:rPr>
        <w:t xml:space="preserve">bei Mitgliedern der Evangelischen Kirche ihre Selbstverständlichkeit verloren: Nur noch ein Teil der Kinder evangelischer Eltern wird getauft, nicht mehr alle evangelischen Jugendlichen eines Jahrgangs melden sich zur Konfirmation an, seit Längerem schon heiraten nur noch ein Teil der evangelischen Paare kirchlich, auch bei Bestattungen kommt es immer häufiger vor, dass keine evangelische Trauerfeier gestaltet wird. Bei allen vier Kasualien ist eine abnehmende Tendenz zu beobachten. </w:t>
      </w:r>
      <w:r w:rsidR="00F251BC" w:rsidRPr="00F251BC">
        <w:rPr>
          <w:rFonts w:ascii="Trebuchet MS" w:hAnsi="Trebuchet MS"/>
          <w:sz w:val="22"/>
          <w:szCs w:val="22"/>
        </w:rPr>
        <w:t>Die Gründe dafür sind vielfältig; nicht alle können wir beeinflussen. Wir können aber dafür sorgen, dass wir -soweit es an uns liegt - Hindernisse abbauen, die der Inanspruchnahme von Kasualien entgegenstehen</w:t>
      </w:r>
      <w:r w:rsidR="00F251BC">
        <w:rPr>
          <w:rFonts w:ascii="Trebuchet MS" w:hAnsi="Trebuchet MS"/>
          <w:sz w:val="22"/>
          <w:szCs w:val="22"/>
        </w:rPr>
        <w:t>, und Menschen neu für Kasualgottesdienste interessieren</w:t>
      </w:r>
      <w:r w:rsidR="00F251BC" w:rsidRPr="00F251BC">
        <w:rPr>
          <w:rFonts w:ascii="Trebuchet MS" w:hAnsi="Trebuchet MS"/>
          <w:sz w:val="22"/>
          <w:szCs w:val="22"/>
        </w:rPr>
        <w:t xml:space="preserve">. </w:t>
      </w:r>
    </w:p>
    <w:p w:rsidR="00F82D54" w:rsidRPr="006A68C9" w:rsidRDefault="00F82D54" w:rsidP="00F82D54">
      <w:pPr>
        <w:rPr>
          <w:rFonts w:ascii="Trebuchet MS" w:hAnsi="Trebuchet MS"/>
          <w:szCs w:val="22"/>
        </w:rPr>
      </w:pPr>
      <w:r w:rsidRPr="006A68C9">
        <w:rPr>
          <w:rFonts w:ascii="Trebuchet MS" w:hAnsi="Trebuchet MS"/>
          <w:szCs w:val="22"/>
        </w:rPr>
        <w:t>Das kasuelle Arbeitsfeld ist heute ein fluides: Die klassischen Kasualien Taufe, Konfir</w:t>
      </w:r>
      <w:r w:rsidRPr="006A68C9">
        <w:rPr>
          <w:rFonts w:ascii="Trebuchet MS" w:hAnsi="Trebuchet MS"/>
          <w:szCs w:val="22"/>
        </w:rPr>
        <w:softHyphen/>
        <w:t>mation, Trauung und Bestattung („theholyfour“</w:t>
      </w:r>
      <w:r w:rsidRPr="006A68C9">
        <w:rPr>
          <w:rStyle w:val="Funotenzeichen"/>
          <w:rFonts w:eastAsiaTheme="minorEastAsia"/>
        </w:rPr>
        <w:footnoteReference w:id="3"/>
      </w:r>
      <w:r w:rsidRPr="006A68C9">
        <w:rPr>
          <w:rFonts w:ascii="Trebuchet MS" w:hAnsi="Trebuchet MS"/>
          <w:szCs w:val="22"/>
        </w:rPr>
        <w:t xml:space="preserve">) lösen sich mehr und mehr von ihren ursprünglichen biografischen Übergangssituationen: Am deutlichsten ist noch der Zusammenhang zwischen Todesfall und Trauerfeier. Aber die Taufe von Kleinkindern erfolgt nur noch selten in den ersten Wochen nach der Geburt; die Konfirmation markiert schon lange nicht mehr den Eintritt ins Erwachsenenleben, kirchliche Trauungen werden manchmal erst Monate oder Jahre nach der standesamtlichen Eheschließung vollzogen. Anlässe zur Feier von Kasualien müssen geschaffen werden. Zugleich entstehen neue Kasualien an neuen Übergängen (z.B. Einschulung, Schwangerschaft, Ehescheidung, Eintritt in den Ruhestand), die es sensibel wahrzunehmen und zu gestalten gilt. Dabei ist auch in den Blick zu nehmen, dass klassische Kasualien sich bisher v.a. an Familien richten, viele Menschen aber als Singles auch eine kirchliche Begleitung an Lebensumbrüchen wünschen. </w:t>
      </w:r>
    </w:p>
    <w:p w:rsidR="00F82D54" w:rsidRPr="006A68C9" w:rsidRDefault="00F82D54" w:rsidP="00F82D54">
      <w:pPr>
        <w:rPr>
          <w:rFonts w:ascii="Trebuchet MS" w:hAnsi="Trebuchet MS"/>
          <w:szCs w:val="22"/>
        </w:rPr>
      </w:pPr>
      <w:r w:rsidRPr="006A68C9">
        <w:rPr>
          <w:rFonts w:ascii="Trebuchet MS" w:hAnsi="Trebuchet MS"/>
          <w:szCs w:val="22"/>
        </w:rPr>
        <w:lastRenderedPageBreak/>
        <w:t>Für Kirchenmitglieder stellt sich die Inanspruchnahme von Kasualien als eine Option neben anderen dar: Das Nebeneinander mit säkularen Anbietern stellt die Kirche mit ihren Kasualien auf einen Markt. Kasualbegehrende wollen auf diesem Markt weder von einem „Amt“ „verwaltet“ noch als „Fall“ unter Fällen behandelt, sondern in ihrer Einzigartigkeit wahr- und ernst genommen werden. Sie wollen mit dem Charme kirchlicher Orte und der Kompetenz von Pfarrer*innen „umworben“, nicht durch Zuständigkeiten an diese gebunden werden. Dafür ist milieuspezifische und biografische (Singles, Familien, andere Lebensformen) Sensibilität, ritualproduktive Kreativität und Mut zum „Verspre</w:t>
      </w:r>
      <w:r w:rsidRPr="006A68C9">
        <w:rPr>
          <w:rFonts w:ascii="Trebuchet MS" w:hAnsi="Trebuchet MS"/>
          <w:szCs w:val="22"/>
        </w:rPr>
        <w:softHyphen/>
        <w:t xml:space="preserve">chen“ der Botschaft des Evangeliums mit spezifischen Lebenssituationen erforderlich. </w:t>
      </w:r>
    </w:p>
    <w:p w:rsidR="00F82D54" w:rsidRPr="006A68C9" w:rsidRDefault="00F82D54" w:rsidP="00F82D54">
      <w:pPr>
        <w:rPr>
          <w:rFonts w:ascii="Trebuchet MS" w:hAnsi="Trebuchet MS"/>
          <w:szCs w:val="22"/>
        </w:rPr>
      </w:pPr>
      <w:r w:rsidRPr="006A68C9">
        <w:rPr>
          <w:rFonts w:ascii="Trebuchet MS" w:hAnsi="Trebuchet MS"/>
          <w:szCs w:val="22"/>
        </w:rPr>
        <w:t>Kasualien sind ein komplexes kommunikativ-rituelles Geschehen, das von den Durchführen</w:t>
      </w:r>
      <w:r w:rsidRPr="006A68C9">
        <w:rPr>
          <w:rFonts w:ascii="Trebuchet MS" w:hAnsi="Trebuchet MS"/>
          <w:szCs w:val="22"/>
        </w:rPr>
        <w:softHyphen/>
        <w:t>den eine selbstbewusste Rolle in der missioDei, eine seelsorglich-diakonische Haltung „auf Augenhöhe“ sowie kommunikative, didaktische, liturgische und homiletische Kompetenzen erfordert. Von der Kirche erfordern sie eine Dienstleistungs-Orientierung, die die Men</w:t>
      </w:r>
      <w:r>
        <w:rPr>
          <w:rFonts w:ascii="Trebuchet MS" w:hAnsi="Trebuchet MS"/>
          <w:szCs w:val="22"/>
        </w:rPr>
        <w:t>s</w:t>
      </w:r>
      <w:r w:rsidRPr="006A68C9">
        <w:rPr>
          <w:rFonts w:ascii="Trebuchet MS" w:hAnsi="Trebuchet MS"/>
          <w:szCs w:val="22"/>
        </w:rPr>
        <w:t>chen, die eine Kasualie wünschen, als „Kunden“ wahr- und ernst nimmt, und zugleich in diesem Dienstleistungskontext das Evangelium zur Sprache bringt.</w:t>
      </w:r>
    </w:p>
    <w:p w:rsidR="00F251BC" w:rsidRPr="00C12B18" w:rsidRDefault="00F82D54" w:rsidP="00F82D54">
      <w:pPr>
        <w:rPr>
          <w:rFonts w:ascii="Trebuchet MS" w:hAnsi="Trebuchet MS"/>
        </w:rPr>
      </w:pPr>
      <w:r w:rsidRPr="00C12B18">
        <w:rPr>
          <w:rFonts w:ascii="Trebuchet MS" w:hAnsi="Trebuchet MS"/>
          <w:szCs w:val="22"/>
        </w:rPr>
        <w:t>Die folgenden Überlegungen konzentrieren sich in ihren Organistionsaspekten auf die klassischen individuellen Kasualien Taufe, Trauung, Bestattung („theholythree“), da die Konfirmation durch die Verbindung an die Vorbereitungszeit in der Jahrgangsgruppe noch einmal von anderen Dynamiken geprägt ist</w:t>
      </w:r>
      <w:r w:rsidR="00F251BC" w:rsidRPr="00C12B18">
        <w:rPr>
          <w:rFonts w:ascii="Trebuchet MS" w:hAnsi="Trebuchet MS"/>
          <w:szCs w:val="22"/>
        </w:rPr>
        <w:t>.</w:t>
      </w:r>
      <w:r w:rsidR="00F251BC" w:rsidRPr="00C12B18">
        <w:rPr>
          <w:rFonts w:ascii="Trebuchet MS" w:hAnsi="Trebuchet MS"/>
        </w:rPr>
        <w:t>Es geht bei unseren Überlegungen aber auch um die Arbeit an einer grundsätzlich zugewandten, einladenden Haltung gegenüber Menschen in allen Lebenssituationen. Insofern bilden auch die sogenannten „neuen Kasualien“ wichtige Chancen</w:t>
      </w:r>
      <w:r w:rsidR="00C12B18" w:rsidRPr="00C12B18">
        <w:rPr>
          <w:rFonts w:ascii="Trebuchet MS" w:hAnsi="Trebuchet MS"/>
        </w:rPr>
        <w:t>.</w:t>
      </w:r>
    </w:p>
    <w:p w:rsidR="00C12B18" w:rsidRPr="00C12B18" w:rsidRDefault="00F82D54" w:rsidP="00C12B18">
      <w:pPr>
        <w:pStyle w:val="Kommentartext"/>
        <w:rPr>
          <w:rFonts w:ascii="Trebuchet MS" w:hAnsi="Trebuchet MS"/>
          <w:sz w:val="22"/>
          <w:szCs w:val="22"/>
        </w:rPr>
      </w:pPr>
      <w:r w:rsidRPr="00C12B18">
        <w:rPr>
          <w:rFonts w:ascii="Trebuchet MS" w:hAnsi="Trebuchet MS"/>
          <w:sz w:val="22"/>
          <w:szCs w:val="22"/>
        </w:rPr>
        <w:t>Dieses Papier richtet sich an die Durchführenden sowie an die Verantwortlichen für die Organisation von Kasualien in der Evangelischen Landeskirche in Baden – nicht an Menschen, die Kasualien beg</w:t>
      </w:r>
      <w:r w:rsidR="00C12B18" w:rsidRPr="00C12B18">
        <w:rPr>
          <w:rFonts w:ascii="Trebuchet MS" w:hAnsi="Trebuchet MS"/>
          <w:sz w:val="22"/>
          <w:szCs w:val="22"/>
        </w:rPr>
        <w:t>e</w:t>
      </w:r>
      <w:r w:rsidRPr="00C12B18">
        <w:rPr>
          <w:rFonts w:ascii="Trebuchet MS" w:hAnsi="Trebuchet MS"/>
          <w:sz w:val="22"/>
          <w:szCs w:val="22"/>
        </w:rPr>
        <w:t xml:space="preserve">hren. Es soll dazu beitragen, die Kasualpraxis innerhalb der Evangelischen Landeskirche in Baden weiterzuentwickeln. Dazu entwickelt es Thesen, die zur Diskussion einladen – zunächst in grundsätzlicher und dann in entfalteter Form, in der dann konkrete Regelungsideen dargestellt werden. </w:t>
      </w:r>
      <w:r w:rsidR="00C12B18" w:rsidRPr="00C12B18">
        <w:rPr>
          <w:rFonts w:ascii="Trebuchet MS" w:hAnsi="Trebuchet MS"/>
          <w:sz w:val="22"/>
          <w:szCs w:val="22"/>
        </w:rPr>
        <w:t>Der Konsultationsprozess in den Pfarrkonventen und Kirchenbezirken soll zu verbindlichen Verabredungen für eine einladende Kasual-Kultur in den Kirchenbezirken führen, die von Seiten der Landeskirche durch die Überarbeitung rechtlicher Regelungen unterstützt wird.</w:t>
      </w:r>
    </w:p>
    <w:p w:rsidR="00F82D54" w:rsidRPr="006A68C9" w:rsidRDefault="00F82D54" w:rsidP="00F82D54">
      <w:pPr>
        <w:rPr>
          <w:rFonts w:ascii="Trebuchet MS" w:hAnsi="Trebuchet MS"/>
          <w:szCs w:val="22"/>
        </w:rPr>
      </w:pPr>
    </w:p>
    <w:p w:rsidR="00F82D54" w:rsidRPr="006A68C9" w:rsidRDefault="00F82D54" w:rsidP="00F82D54">
      <w:pPr>
        <w:spacing w:after="0"/>
        <w:rPr>
          <w:rFonts w:ascii="Trebuchet MS" w:hAnsi="Trebuchet MS"/>
          <w:szCs w:val="22"/>
        </w:rPr>
      </w:pPr>
    </w:p>
    <w:p w:rsidR="00F82D54" w:rsidRPr="006A68C9" w:rsidRDefault="00F82D54" w:rsidP="00F82D54">
      <w:pPr>
        <w:spacing w:after="0"/>
        <w:rPr>
          <w:rFonts w:ascii="Trebuchet MS" w:hAnsi="Trebuchet MS"/>
          <w:szCs w:val="22"/>
        </w:rPr>
      </w:pPr>
    </w:p>
    <w:p w:rsidR="00F82D54" w:rsidRPr="006A68C9" w:rsidRDefault="00F82D54" w:rsidP="00F82D54">
      <w:pPr>
        <w:spacing w:after="0"/>
        <w:rPr>
          <w:rFonts w:ascii="Trebuchet MS" w:hAnsi="Trebuchet MS"/>
          <w:szCs w:val="22"/>
        </w:rPr>
        <w:sectPr w:rsidR="00F82D54" w:rsidRPr="006A68C9" w:rsidSect="003432ED">
          <w:headerReference w:type="even" r:id="rId8"/>
          <w:footerReference w:type="first" r:id="rId9"/>
          <w:pgSz w:w="11906" w:h="16838" w:code="9"/>
          <w:pgMar w:top="1134" w:right="1418" w:bottom="1418" w:left="1418" w:header="720" w:footer="680" w:gutter="0"/>
          <w:cols w:space="720"/>
          <w:titlePg/>
          <w:docGrid w:linePitch="299"/>
        </w:sectPr>
      </w:pPr>
    </w:p>
    <w:p w:rsidR="00F82D54" w:rsidRPr="006A68C9" w:rsidRDefault="00F82D54" w:rsidP="00F82D54">
      <w:pPr>
        <w:spacing w:after="0"/>
        <w:rPr>
          <w:rFonts w:ascii="Trebuchet MS" w:hAnsi="Trebuchet MS"/>
          <w:sz w:val="28"/>
          <w:szCs w:val="28"/>
        </w:rPr>
      </w:pPr>
      <w:r w:rsidRPr="006A68C9">
        <w:rPr>
          <w:rFonts w:ascii="Trebuchet MS" w:hAnsi="Trebuchet MS"/>
          <w:sz w:val="28"/>
          <w:szCs w:val="28"/>
        </w:rPr>
        <w:lastRenderedPageBreak/>
        <w:t>Thesen zur Weiterentwicklung der Kasualpraxis – Anstoß zur Diskussion</w:t>
      </w:r>
      <w:r w:rsidRPr="006A68C9">
        <w:rPr>
          <w:rFonts w:ascii="Trebuchet MS" w:hAnsi="Trebuchet MS"/>
          <w:sz w:val="28"/>
          <w:szCs w:val="28"/>
        </w:rPr>
        <w:br/>
      </w:r>
    </w:p>
    <w:p w:rsidR="00F82D54" w:rsidRPr="006A68C9" w:rsidRDefault="00F82D54" w:rsidP="00F82D54">
      <w:pPr>
        <w:pStyle w:val="Handlungsfeld"/>
      </w:pPr>
      <w:r w:rsidRPr="006A68C9">
        <w:t>Die Perspektive der Kasualbegehrenden</w:t>
      </w:r>
      <w:r w:rsidRPr="006A68C9">
        <w:rPr>
          <w:rStyle w:val="Funotenzeichen"/>
        </w:rPr>
        <w:footnoteReference w:id="4"/>
      </w:r>
      <w:r w:rsidRPr="006A68C9">
        <w:t xml:space="preserve"> ernst nehmen</w:t>
      </w:r>
    </w:p>
    <w:p w:rsidR="00F82D54" w:rsidRPr="006A68C9" w:rsidRDefault="00F82D54" w:rsidP="00F82D54">
      <w:pPr>
        <w:pStyle w:val="These"/>
      </w:pPr>
      <w:r>
        <w:t>Die Evangelische Landeskirche in Baden und ihre Gemeinden</w:t>
      </w:r>
      <w:r w:rsidRPr="006A68C9">
        <w:t xml:space="preserve"> wollen Kasualbe</w:t>
      </w:r>
      <w:r>
        <w:softHyphen/>
      </w:r>
      <w:r w:rsidRPr="006A68C9">
        <w:t>gehren</w:t>
      </w:r>
      <w:r>
        <w:softHyphen/>
      </w:r>
      <w:r w:rsidRPr="006A68C9">
        <w:t xml:space="preserve">den mit ihren Bedürfnissen </w:t>
      </w:r>
      <w:r>
        <w:t>ihre</w:t>
      </w:r>
      <w:r w:rsidRPr="006A68C9">
        <w:t xml:space="preserve"> Tür</w:t>
      </w:r>
      <w:r>
        <w:t>en weit öffnen</w:t>
      </w:r>
      <w:r w:rsidRPr="006A68C9">
        <w:t>.</w:t>
      </w:r>
    </w:p>
    <w:p w:rsidR="00F82D54" w:rsidRPr="006A68C9" w:rsidRDefault="00F82D54" w:rsidP="00F82D54">
      <w:pPr>
        <w:pStyle w:val="These"/>
      </w:pPr>
      <w:r w:rsidRPr="006A68C9">
        <w:t xml:space="preserve">Menschen, die eine Kasualie feiern möchten, erleben die evangelische Kirche als </w:t>
      </w:r>
      <w:r>
        <w:t>zugewandte und kompetente Partnerin bei der Gestaltung ihres Kasualgottes</w:t>
      </w:r>
      <w:r>
        <w:softHyphen/>
        <w:t>dienstes.</w:t>
      </w:r>
    </w:p>
    <w:p w:rsidR="00F82D54" w:rsidRPr="006A68C9" w:rsidRDefault="00F82D54" w:rsidP="00F82D54">
      <w:pPr>
        <w:pStyle w:val="These"/>
      </w:pPr>
      <w:r w:rsidRPr="006A68C9">
        <w:t>Wenn Nicht-Mitglieder der Landeskirche eine Kasualie begehren, dann wird dies wohlwollend geprüft – obwohl sie keinen Anspruch auf die Durchführung von Kasualien haben. Es werden Regelungen für eine finanzielle Beteiligung an den Kosten geschaffen.</w:t>
      </w:r>
    </w:p>
    <w:p w:rsidR="00F82D54" w:rsidRPr="006A68C9" w:rsidRDefault="00F82D54" w:rsidP="00F82D54">
      <w:pPr>
        <w:pStyle w:val="These"/>
      </w:pPr>
      <w:r w:rsidRPr="006A68C9">
        <w:t>Für die Durchführung von Kasualien an sich werden für Kirchenmitglieder keine Gebühren erhoben (keine Stolgebühren). Soweit für ergänzende Leistungen Gebühren anfallen, sind diese in einer Gebührenordnung transparent kommuniziert.</w:t>
      </w:r>
    </w:p>
    <w:p w:rsidR="00F82D54" w:rsidRPr="006A68C9" w:rsidRDefault="00F82D54" w:rsidP="00F82D54">
      <w:pPr>
        <w:pStyle w:val="Handlungsfeld"/>
      </w:pPr>
      <w:r w:rsidRPr="006A68C9">
        <w:t xml:space="preserve">Die Perspektive der </w:t>
      </w:r>
      <w:r w:rsidR="00C12B18">
        <w:t>liturgisch Handelnd</w:t>
      </w:r>
      <w:r w:rsidRPr="006A68C9">
        <w:t>en</w:t>
      </w:r>
      <w:r w:rsidRPr="006A68C9">
        <w:rPr>
          <w:rStyle w:val="Funotenzeichen"/>
        </w:rPr>
        <w:footnoteReference w:id="5"/>
      </w:r>
      <w:r w:rsidRPr="006A68C9">
        <w:t xml:space="preserve"> und weiteren Mitarbeitenden ernst nehmen</w:t>
      </w:r>
    </w:p>
    <w:p w:rsidR="00F82D54" w:rsidRPr="006A68C9" w:rsidRDefault="00C12B18" w:rsidP="00F82D54">
      <w:pPr>
        <w:pStyle w:val="These"/>
      </w:pPr>
      <w:r>
        <w:t>Die liturgisch Handelnden</w:t>
      </w:r>
      <w:r w:rsidR="00F82D54">
        <w:t xml:space="preserve"> sehen es als ihre Aufgabe, Menschen in wichtigen biografischen Situationen zu begleiten und mit ihnen Momente der Gottesbegegnung und des Gesegnet-Werdens zu gestalten. Mit den Kasualien haben sie</w:t>
      </w:r>
      <w:r w:rsidR="00F82D54" w:rsidRPr="006A68C9">
        <w:t xml:space="preserve"> die Möglichkeit, Kontakte </w:t>
      </w:r>
      <w:r w:rsidR="00F82D54">
        <w:t xml:space="preserve">zu Menschen aus allen Milieus </w:t>
      </w:r>
      <w:r w:rsidR="00F82D54" w:rsidRPr="006A68C9">
        <w:t xml:space="preserve">zu knüpfen und damit zur </w:t>
      </w:r>
      <w:r w:rsidR="00F82D54">
        <w:t>Gestaltung einer gastfreundlichen, sorgenden und partnerschaftlichen Gemeinde</w:t>
      </w:r>
      <w:r w:rsidR="00F82D54" w:rsidRPr="006A68C9">
        <w:t xml:space="preserve"> beizutragen.</w:t>
      </w:r>
    </w:p>
    <w:p w:rsidR="00F82D54" w:rsidRPr="006A68C9" w:rsidRDefault="00F82D54" w:rsidP="00F82D54">
      <w:pPr>
        <w:pStyle w:val="These"/>
      </w:pPr>
      <w:r w:rsidRPr="006A68C9">
        <w:t xml:space="preserve">Die Belastung </w:t>
      </w:r>
      <w:r w:rsidR="00C12B18">
        <w:t>der liturgisch Handelnden</w:t>
      </w:r>
      <w:r w:rsidRPr="006A68C9">
        <w:t xml:space="preserve"> durch besondere Ortwünsche von Kasualbegehrenden muss begrenzt bleiben.</w:t>
      </w:r>
    </w:p>
    <w:p w:rsidR="00F82D54" w:rsidRPr="006A68C9" w:rsidRDefault="00F82D54" w:rsidP="00F82D54">
      <w:pPr>
        <w:pStyle w:val="These"/>
      </w:pPr>
      <w:r w:rsidRPr="006A68C9">
        <w:t>Die Belastung von Kirchenmusiker</w:t>
      </w:r>
      <w:r w:rsidR="00C12B18">
        <w:t>*</w:t>
      </w:r>
      <w:r w:rsidRPr="006A68C9">
        <w:t>innen muss begrenzt bleiben.</w:t>
      </w:r>
    </w:p>
    <w:p w:rsidR="00F82D54" w:rsidRDefault="00F82D54" w:rsidP="00C12B18">
      <w:pPr>
        <w:pStyle w:val="These"/>
        <w:jc w:val="both"/>
      </w:pPr>
      <w:r w:rsidRPr="006A68C9">
        <w:t xml:space="preserve">Die </w:t>
      </w:r>
      <w:r w:rsidR="00C12B18">
        <w:t>Gesamtv</w:t>
      </w:r>
      <w:r w:rsidRPr="006A68C9">
        <w:t xml:space="preserve">erantwortung für die Gestaltung </w:t>
      </w:r>
      <w:r w:rsidR="00C12B18">
        <w:t xml:space="preserve">des Kasualgottesdienstes </w:t>
      </w:r>
      <w:r w:rsidRPr="006A68C9">
        <w:t xml:space="preserve">liegt </w:t>
      </w:r>
      <w:r w:rsidR="00C12B18">
        <w:t xml:space="preserve">- </w:t>
      </w:r>
      <w:r w:rsidR="00C12B18" w:rsidRPr="006A68C9">
        <w:t xml:space="preserve">nach Rücksprache mit </w:t>
      </w:r>
      <w:r w:rsidR="00C12B18">
        <w:t xml:space="preserve">der/dem </w:t>
      </w:r>
      <w:r w:rsidR="00C12B18" w:rsidRPr="006A68C9">
        <w:t>Kirchenmusiker</w:t>
      </w:r>
      <w:r w:rsidR="00C12B18">
        <w:t>*</w:t>
      </w:r>
      <w:r w:rsidR="00C12B18" w:rsidRPr="006A68C9">
        <w:t xml:space="preserve">in </w:t>
      </w:r>
      <w:r w:rsidR="00C12B18">
        <w:t xml:space="preserve">- </w:t>
      </w:r>
      <w:r w:rsidRPr="006A68C9">
        <w:t xml:space="preserve">bei </w:t>
      </w:r>
      <w:r>
        <w:t xml:space="preserve">der </w:t>
      </w:r>
      <w:r w:rsidR="00C12B18">
        <w:t>l</w:t>
      </w:r>
      <w:r w:rsidRPr="006A68C9">
        <w:t>iturg</w:t>
      </w:r>
      <w:r w:rsidR="00C12B18">
        <w:t>isch handelnden Person</w:t>
      </w:r>
      <w:r w:rsidRPr="006A68C9">
        <w:t>. Dies gibt auch die Möglichkeit, Grenzen zu setzen.</w:t>
      </w:r>
    </w:p>
    <w:p w:rsidR="00F82D54" w:rsidRPr="006A68C9" w:rsidRDefault="00F82D54" w:rsidP="00F82D54">
      <w:pPr>
        <w:pStyle w:val="These"/>
      </w:pPr>
      <w:r>
        <w:t>Die Belastung von Kirchendiener*innen muss begrenzt bleiben.</w:t>
      </w:r>
    </w:p>
    <w:p w:rsidR="00F82D54" w:rsidRPr="006A68C9" w:rsidRDefault="00F82D54" w:rsidP="00F82D54">
      <w:pPr>
        <w:pStyle w:val="Handlungsfeld"/>
      </w:pPr>
      <w:r w:rsidRPr="006A68C9">
        <w:t>Die Perspektive der Gemeinden ernst nehmen</w:t>
      </w:r>
    </w:p>
    <w:p w:rsidR="00F82D54" w:rsidRPr="006A68C9" w:rsidRDefault="00F82D54" w:rsidP="00F82D54">
      <w:pPr>
        <w:pStyle w:val="These"/>
      </w:pPr>
      <w:r w:rsidRPr="006A68C9">
        <w:t xml:space="preserve">Kasualien </w:t>
      </w:r>
      <w:r>
        <w:t>bieten Gemeinden die</w:t>
      </w:r>
      <w:r w:rsidRPr="006A68C9">
        <w:t xml:space="preserve"> Möglichkeiten</w:t>
      </w:r>
      <w:r>
        <w:t>, sich den Menschen, die wichtige Punkte ihres Lebens gottesdienstlich gestalten möchten, als gastfreundlich, sorgend und partnerschaftlich zu präsentieren und so deren Interesse zu gewinnen.</w:t>
      </w:r>
    </w:p>
    <w:p w:rsidR="00F82D54" w:rsidRPr="006A68C9" w:rsidRDefault="00C12B18" w:rsidP="00C12B18">
      <w:pPr>
        <w:pStyle w:val="Einrckung1"/>
        <w:ind w:left="851"/>
      </w:pPr>
      <w:r w:rsidRPr="006A68C9">
        <w:lastRenderedPageBreak/>
        <w:t>Gemeinden können weiterhin Regelungen treffen über die Bedingungen, zu denen Kasualien gefeiert werden</w:t>
      </w:r>
      <w:r>
        <w:t>. Sie sollen dabei die Perspektive der Kasualbegehrenden angemessen berücksichtigen.“</w:t>
      </w:r>
    </w:p>
    <w:p w:rsidR="00F82D54" w:rsidRPr="006A68C9" w:rsidRDefault="00F82D54" w:rsidP="00F82D54">
      <w:pPr>
        <w:pStyle w:val="These"/>
      </w:pPr>
      <w:r w:rsidRPr="006A68C9">
        <w:t>Es bleibt grundsätzlich bei den Zuständigkeitsregelungen des Parochialrechtes, d.h. der Zuständigkeit, die am Wohnort ansetzt – sofern keine andere Zuständigkeit durch Wahl der Kasualbegehrenden etabliert wird.</w:t>
      </w:r>
    </w:p>
    <w:p w:rsidR="00F82D54" w:rsidRPr="006A68C9" w:rsidRDefault="00F82D54" w:rsidP="00F82D54">
      <w:pPr>
        <w:pStyle w:val="These"/>
      </w:pPr>
      <w:r w:rsidRPr="006A68C9">
        <w:t>Rechtliche Fragen im Zusammenhang mit dem Veranstalter-Status der Gemeinde sind geklärt.</w:t>
      </w:r>
    </w:p>
    <w:p w:rsidR="00F82D54" w:rsidRPr="006A68C9" w:rsidRDefault="00F82D54" w:rsidP="00F82D54">
      <w:pPr>
        <w:pStyle w:val="These"/>
      </w:pPr>
      <w:r w:rsidRPr="006A68C9">
        <w:t xml:space="preserve">Gemeinden, in denen außergewöhnlich viele Kasualien gefeiert werden auf Grund des besonderen Ortes (Traukirchen, Friedwälder) oder auf Grund besonderer Anstrengung, bekommen auf Antrag eine Bonus-Zuweisung zum Ausgleich der damit verbundenen Mehr-Belastungen. </w:t>
      </w:r>
    </w:p>
    <w:p w:rsidR="00F82D54" w:rsidRPr="006A68C9" w:rsidRDefault="00F82D54" w:rsidP="00F82D54">
      <w:pPr>
        <w:pStyle w:val="These"/>
      </w:pPr>
      <w:r w:rsidRPr="006A68C9">
        <w:t>Mehraufwände für Kasualien, die über einen definierten Standard hinausgehen, müssen von den Kasualbegehrenden erstattet werden.</w:t>
      </w:r>
    </w:p>
    <w:p w:rsidR="00F82D54" w:rsidRPr="006A68C9" w:rsidRDefault="00F82D54" w:rsidP="00F82D54">
      <w:pPr>
        <w:pStyle w:val="Handlungsfeld"/>
      </w:pPr>
      <w:r w:rsidRPr="006A68C9">
        <w:t>Die Perspektive der Landeskirche ernst nehmen</w:t>
      </w:r>
    </w:p>
    <w:p w:rsidR="00F82D54" w:rsidRPr="006A68C9" w:rsidRDefault="00F82D54" w:rsidP="00F82D54">
      <w:pPr>
        <w:pStyle w:val="These"/>
      </w:pPr>
      <w:r w:rsidRPr="006A68C9">
        <w:t>Für die Mitgliederorientierung werden die Daten von Kasualbegehrenden zentral verfügbar gemacht.</w:t>
      </w:r>
    </w:p>
    <w:p w:rsidR="00F82D54" w:rsidRPr="006A68C9" w:rsidRDefault="00F82D54" w:rsidP="00F82D54">
      <w:pPr>
        <w:pStyle w:val="These"/>
      </w:pPr>
      <w:r w:rsidRPr="006A68C9">
        <w:t>Die Eintragung in Kirchenbücher ist geregelt, auch wenn eine Kasualie durch eine Person durchgeführt wird, die parochialrechtlich nicht zuständig ist.</w:t>
      </w:r>
    </w:p>
    <w:p w:rsidR="00F82D54" w:rsidRPr="006A68C9" w:rsidRDefault="00F82D54" w:rsidP="00F82D54">
      <w:pPr>
        <w:pStyle w:val="These"/>
      </w:pPr>
      <w:r w:rsidRPr="006A68C9">
        <w:t>Die Vergütung der Kirchenmusiker/innen für Trauungen ist unter der Perspektive der Attraktivität zur Durchführung von Trauungen in der ARK noch einmal neu zu beraten (</w:t>
      </w:r>
      <w:r>
        <w:t>a</w:t>
      </w:r>
      <w:r w:rsidRPr="006A68C9">
        <w:t>nerkannter Stundensatz).</w:t>
      </w:r>
    </w:p>
    <w:p w:rsidR="00F82D54" w:rsidRPr="006A68C9" w:rsidRDefault="00F82D54" w:rsidP="00F82D54">
      <w:pPr>
        <w:pStyle w:val="These"/>
      </w:pPr>
      <w:r w:rsidRPr="006A68C9">
        <w:t>Es wird zu diesem Gegenstand für die ganze EKIBA ein gesetzlicher Regelungs</w:t>
      </w:r>
      <w:r>
        <w:softHyphen/>
      </w:r>
      <w:r w:rsidRPr="006A68C9">
        <w:t xml:space="preserve">rahmen geschaffen. </w:t>
      </w:r>
    </w:p>
    <w:p w:rsidR="00F82D54" w:rsidRPr="006A68C9" w:rsidRDefault="00F82D54" w:rsidP="00F82D54">
      <w:pPr>
        <w:pStyle w:val="These"/>
      </w:pPr>
      <w:r w:rsidRPr="006A68C9">
        <w:t>Um das fluide Feld der Kasualien weiter zu entwickeln wird eine agile Dienst</w:t>
      </w:r>
      <w:r>
        <w:softHyphen/>
      </w:r>
      <w:r w:rsidRPr="006A68C9">
        <w:t xml:space="preserve">gruppe mit allen an der Aus- und Fortbildung und der Organisation der Kasualien </w:t>
      </w:r>
      <w:r w:rsidR="00C12B18">
        <w:t xml:space="preserve">Beteiligten </w:t>
      </w:r>
      <w:r w:rsidRPr="006A68C9">
        <w:t>gebildet.</w:t>
      </w:r>
    </w:p>
    <w:p w:rsidR="00F82D54" w:rsidRPr="006A68C9" w:rsidRDefault="00F82D54" w:rsidP="00F82D54">
      <w:pPr>
        <w:pStyle w:val="These"/>
      </w:pPr>
      <w:r w:rsidRPr="006A68C9">
        <w:t>Die Etablierung von 2 Modellbezirken mit jeweils einem hoch frequentierten Kasualort (Friedwald oder Hochzeitskirche) und einer Kasualvermittlung</w:t>
      </w:r>
      <w:r w:rsidR="00C12B18">
        <w:t xml:space="preserve"> zur Stärkung und Koordinierung der Kasualarbeit</w:t>
      </w:r>
      <w:r w:rsidRPr="006A68C9">
        <w:t xml:space="preserve"> wird geprüft.</w:t>
      </w:r>
    </w:p>
    <w:p w:rsidR="00F82D54" w:rsidRPr="006A68C9" w:rsidRDefault="00F82D54" w:rsidP="00F82D54">
      <w:pPr>
        <w:spacing w:after="0"/>
        <w:rPr>
          <w:rFonts w:ascii="Trebuchet MS" w:hAnsi="Trebuchet MS"/>
          <w:sz w:val="28"/>
          <w:szCs w:val="28"/>
        </w:rPr>
      </w:pPr>
    </w:p>
    <w:p w:rsidR="00F82D54" w:rsidRPr="006A68C9" w:rsidRDefault="00F82D54" w:rsidP="00F82D54">
      <w:pPr>
        <w:spacing w:after="0"/>
        <w:rPr>
          <w:rFonts w:ascii="Trebuchet MS" w:hAnsi="Trebuchet MS"/>
          <w:sz w:val="28"/>
          <w:szCs w:val="28"/>
        </w:rPr>
      </w:pPr>
    </w:p>
    <w:p w:rsidR="00F82D54" w:rsidRPr="006A68C9" w:rsidRDefault="00F82D54" w:rsidP="00F82D54">
      <w:pPr>
        <w:spacing w:after="0"/>
        <w:rPr>
          <w:rFonts w:ascii="Trebuchet MS" w:hAnsi="Trebuchet MS"/>
          <w:sz w:val="28"/>
          <w:szCs w:val="28"/>
        </w:rPr>
      </w:pPr>
    </w:p>
    <w:p w:rsidR="00F82D54" w:rsidRPr="006A68C9" w:rsidRDefault="00F82D54" w:rsidP="00F82D54">
      <w:pPr>
        <w:spacing w:after="0"/>
        <w:rPr>
          <w:rFonts w:ascii="Trebuchet MS" w:hAnsi="Trebuchet MS"/>
          <w:szCs w:val="22"/>
        </w:rPr>
        <w:sectPr w:rsidR="00F82D54" w:rsidRPr="006A68C9" w:rsidSect="003432ED">
          <w:pgSz w:w="11906" w:h="16838" w:code="9"/>
          <w:pgMar w:top="1134" w:right="1418" w:bottom="1418" w:left="1418" w:header="720" w:footer="680" w:gutter="0"/>
          <w:cols w:space="720"/>
          <w:titlePg/>
          <w:docGrid w:linePitch="299"/>
        </w:sectPr>
      </w:pPr>
    </w:p>
    <w:p w:rsidR="00F82D54" w:rsidRDefault="00F82D54" w:rsidP="00F82D54">
      <w:pPr>
        <w:spacing w:after="120"/>
        <w:rPr>
          <w:rFonts w:ascii="Trebuchet MS" w:hAnsi="Trebuchet MS"/>
          <w:sz w:val="32"/>
          <w:szCs w:val="32"/>
        </w:rPr>
      </w:pPr>
      <w:r w:rsidRPr="006A68C9">
        <w:rPr>
          <w:rFonts w:ascii="Trebuchet MS" w:hAnsi="Trebuchet MS"/>
          <w:sz w:val="32"/>
          <w:szCs w:val="32"/>
        </w:rPr>
        <w:lastRenderedPageBreak/>
        <w:t>Konkrete Folgerungen aus den Thesen – Entwurf</w:t>
      </w:r>
    </w:p>
    <w:p w:rsidR="00F82D54" w:rsidRPr="006A68C9" w:rsidRDefault="00F82D54" w:rsidP="00F82D54">
      <w:pPr>
        <w:spacing w:after="120"/>
        <w:rPr>
          <w:rFonts w:ascii="Trebuchet MS" w:hAnsi="Trebuchet MS"/>
          <w:sz w:val="32"/>
          <w:szCs w:val="32"/>
        </w:rPr>
      </w:pPr>
    </w:p>
    <w:p w:rsidR="00F82D54" w:rsidRPr="006A68C9" w:rsidRDefault="00F82D54" w:rsidP="00F82D54">
      <w:pPr>
        <w:pStyle w:val="Abschnitt"/>
        <w:numPr>
          <w:ilvl w:val="0"/>
          <w:numId w:val="21"/>
        </w:numPr>
        <w:ind w:left="426" w:hanging="426"/>
      </w:pPr>
      <w:r w:rsidRPr="006A68C9">
        <w:t xml:space="preserve">Die </w:t>
      </w:r>
      <w:r w:rsidRPr="00C979CC">
        <w:t>Perspektive</w:t>
      </w:r>
      <w:r w:rsidRPr="006A68C9">
        <w:t xml:space="preserve"> der Kasualbegehrenden</w:t>
      </w:r>
      <w:r w:rsidRPr="006A68C9">
        <w:rPr>
          <w:rStyle w:val="Funotenzeichen"/>
        </w:rPr>
        <w:footnoteReference w:id="6"/>
      </w:r>
      <w:r w:rsidRPr="006A68C9">
        <w:t xml:space="preserve"> ernst nehmen</w:t>
      </w:r>
    </w:p>
    <w:p w:rsidR="00F82D54" w:rsidRDefault="00F82D54" w:rsidP="00F82D54">
      <w:pPr>
        <w:pStyle w:val="These"/>
        <w:numPr>
          <w:ilvl w:val="0"/>
          <w:numId w:val="22"/>
        </w:numPr>
        <w:ind w:left="851" w:hanging="425"/>
      </w:pPr>
      <w:r>
        <w:t xml:space="preserve">Die </w:t>
      </w:r>
      <w:r w:rsidRPr="00C979CC">
        <w:t>Evangelische</w:t>
      </w:r>
      <w:r>
        <w:t xml:space="preserve"> Landeskirche in Baden und ihre Gemeinden</w:t>
      </w:r>
      <w:r w:rsidRPr="006A68C9">
        <w:t xml:space="preserve"> wollen Kasualbegehrenden mit ihren Bedürfnissen </w:t>
      </w:r>
      <w:r>
        <w:t>ihre</w:t>
      </w:r>
      <w:r w:rsidRPr="006A68C9">
        <w:t xml:space="preserve"> Tür</w:t>
      </w:r>
      <w:r>
        <w:t>en weit öffnen.</w:t>
      </w:r>
    </w:p>
    <w:p w:rsidR="00F82D54" w:rsidRPr="006A68C9" w:rsidRDefault="00F82D54" w:rsidP="00F82D54">
      <w:pPr>
        <w:pStyle w:val="Einrckung2"/>
      </w:pPr>
      <w:r w:rsidRPr="006A68C9">
        <w:t>Kasualbegehrende können sich die Pfarrperson</w:t>
      </w:r>
      <w:r w:rsidRPr="006A68C9">
        <w:rPr>
          <w:rStyle w:val="Funotenzeichen"/>
        </w:rPr>
        <w:footnoteReference w:id="7"/>
      </w:r>
      <w:r w:rsidRPr="006A68C9">
        <w:t xml:space="preserve"> wählen, die eine Kasualie ausführen soll. Wenn die angefragte Pfarrperson zustimmt, dann braucht es keine weitere Genehmigungsinstanz.</w:t>
      </w:r>
    </w:p>
    <w:p w:rsidR="00F82D54" w:rsidRPr="006A68C9" w:rsidRDefault="00F82D54" w:rsidP="00F82D54">
      <w:pPr>
        <w:pStyle w:val="Einrckung2"/>
      </w:pPr>
      <w:r w:rsidRPr="006A68C9">
        <w:t>Wenn Kasualbegehrende eine seelsorgliche Beziehung zu einer Pfarrperson haben, dann soll es vorrangig möglich sein, dass diese Pfarrperson die Kasualie durchführt, sofern sie dazu bereit ist (z.B. Bestattung durch Notfallseelsor</w:t>
      </w:r>
      <w:r w:rsidRPr="006A68C9">
        <w:softHyphen/>
        <w:t xml:space="preserve">gerin, Taufe durch Klinikseelsorger, Trauung durch </w:t>
      </w:r>
      <w:r>
        <w:t>Religionslehrerin</w:t>
      </w:r>
      <w:r w:rsidRPr="006A68C9">
        <w:t xml:space="preserve"> etc.). Allerdings dürfen Vorgänger*innen in einem Gemeindepfarramt eine Kasualie nur in Rücksprache mit der aktuell für dieses Pfarramt verant</w:t>
      </w:r>
      <w:r w:rsidRPr="006A68C9">
        <w:softHyphen/>
        <w:t>wort</w:t>
      </w:r>
      <w:r w:rsidRPr="006A68C9">
        <w:softHyphen/>
        <w:t>lichen Person übernehmen. Hier kann es auch eine generelle Ausschluss</w:t>
      </w:r>
      <w:r w:rsidRPr="006A68C9">
        <w:softHyphen/>
        <w:t>regelung geben.</w:t>
      </w:r>
    </w:p>
    <w:p w:rsidR="00F82D54" w:rsidRPr="006A68C9" w:rsidRDefault="00F82D54" w:rsidP="00F82D54">
      <w:pPr>
        <w:pStyle w:val="Einrckung2"/>
      </w:pPr>
      <w:r w:rsidRPr="006A68C9">
        <w:t>Wenn die angefragte Pfarrperson die Kasualie nicht durchführen kann, vermittelt sie die Kasualbegehrenden an eine andere Pfarrperson.</w:t>
      </w:r>
    </w:p>
    <w:p w:rsidR="00F82D54" w:rsidRPr="006A68C9" w:rsidRDefault="00F82D54" w:rsidP="00F82D54">
      <w:pPr>
        <w:pStyle w:val="Einrckung2"/>
      </w:pPr>
      <w:r w:rsidRPr="006A68C9">
        <w:t xml:space="preserve">Kasualbegehrende können eine Kasualie in jeder badischen Kirche oder an einem Ort, an dem ein christlicher Gottesdienst möglich ist, erbitten. Damit sind auch Event-Locations eingeschlossen. Allerdings muss der gewählte Ort liturgisch geeignet und gestaltbar sein und Eigentümer und die liturgisch verantwortliche Person müssen zustimmen, dass dort ein christlicher Gottesdienst stattfindet („extreme“ Orte sind durch Regelungen des Arbeitsschutzes und der Verkehrssicherungspflicht ausgeschlossen). </w:t>
      </w:r>
    </w:p>
    <w:p w:rsidR="00F82D54" w:rsidRPr="006A68C9" w:rsidRDefault="00F82D54" w:rsidP="00F82D54">
      <w:pPr>
        <w:pStyle w:val="Einrckung2"/>
      </w:pPr>
      <w:r w:rsidRPr="006A68C9">
        <w:t>Kasualbegehrende können – in Absprache mit den vor Ort kirchenmusikalisch Verantwortlichen – externe freiberufliche Musiker</w:t>
      </w:r>
      <w:r>
        <w:t>*</w:t>
      </w:r>
      <w:r w:rsidRPr="006A68C9">
        <w:t>innen um musikalische Beiträge bitten und deren Vergütung direkt selbst übernehmen.</w:t>
      </w:r>
    </w:p>
    <w:p w:rsidR="00F82D54" w:rsidRPr="006A68C9" w:rsidRDefault="00F82D54" w:rsidP="00F82D54">
      <w:pPr>
        <w:pStyle w:val="These"/>
        <w:numPr>
          <w:ilvl w:val="0"/>
          <w:numId w:val="22"/>
        </w:numPr>
        <w:ind w:left="851" w:hanging="425"/>
      </w:pPr>
      <w:r w:rsidRPr="006A68C9">
        <w:t xml:space="preserve">Menschen, die eine Kasualie feiern möchten, erleben die evangelische Kirche als </w:t>
      </w:r>
      <w:r>
        <w:t>zugewandte und kompetente Partnerin bei der Gestaltung ihres Kasualgottesdienstes.</w:t>
      </w:r>
    </w:p>
    <w:p w:rsidR="00F82D54" w:rsidRPr="006A68C9" w:rsidRDefault="00F82D54" w:rsidP="00F82D54">
      <w:pPr>
        <w:pStyle w:val="Einrckung2"/>
      </w:pPr>
      <w:r w:rsidRPr="006A68C9">
        <w:t>Die für Kasualien zuständigen Pfarrämter sind verlässlich telefonisch und per E-Mail erreichbar.</w:t>
      </w:r>
    </w:p>
    <w:p w:rsidR="00F82D54" w:rsidRPr="006A68C9" w:rsidRDefault="00F82D54" w:rsidP="00F82D54">
      <w:pPr>
        <w:pStyle w:val="Einrckung2"/>
      </w:pPr>
      <w:r w:rsidRPr="006A68C9">
        <w:t xml:space="preserve">Diejenige Instanz (Pfarrperson, Pfarramt), die zuerst gezielt auf eine Kasualie angesprochen wird, ist dafür zuständig, dass eine Pfarrperson gefunden wird, die die Verantwortung für die Kasualie übernimmt. </w:t>
      </w:r>
    </w:p>
    <w:p w:rsidR="00F82D54" w:rsidRPr="006A68C9" w:rsidRDefault="00F82D54" w:rsidP="00F82D54">
      <w:pPr>
        <w:pStyle w:val="Einrckung2"/>
      </w:pPr>
      <w:r w:rsidRPr="006A68C9">
        <w:t>Alle Pfarrpersonen sind vertraut mit diesem Vorgehen.</w:t>
      </w:r>
    </w:p>
    <w:p w:rsidR="00F82D54" w:rsidRPr="006A68C9" w:rsidRDefault="00F82D54" w:rsidP="00F82D54">
      <w:pPr>
        <w:pStyle w:val="Einrckung2"/>
      </w:pPr>
      <w:r w:rsidRPr="006A68C9">
        <w:t>Bei Anfragen nach einer Kasualie entfernt vom Wohnort, wird den Kasual</w:t>
      </w:r>
      <w:r w:rsidRPr="006A68C9">
        <w:softHyphen/>
        <w:t>be</w:t>
      </w:r>
      <w:r w:rsidRPr="006A68C9">
        <w:softHyphen/>
        <w:t>gehrenden zeitnah durch die zuerst angesprochene Instanz eine zuständige Pfarrperson vermittelt. Dazu gibt es in jedem Kirchenbezirk eine Struktur, die zeitnah sicherstellen kann, dass für eine auswärtige Kasualie eine zuständige Pfarrperson gefunden wird (vgl. 5b).</w:t>
      </w:r>
    </w:p>
    <w:p w:rsidR="00F82D54" w:rsidRPr="006A68C9" w:rsidRDefault="00F82D54" w:rsidP="00F82D54">
      <w:pPr>
        <w:pStyle w:val="Einrckung2"/>
      </w:pPr>
      <w:r w:rsidRPr="006A68C9">
        <w:t>Für jeden Kirchenraum steht ein Informationsblatt zu Verfügung, was an kirchen</w:t>
      </w:r>
      <w:r w:rsidRPr="006A68C9">
        <w:softHyphen/>
        <w:t>musika</w:t>
      </w:r>
      <w:r w:rsidRPr="006A68C9">
        <w:softHyphen/>
        <w:t>li</w:t>
      </w:r>
      <w:r w:rsidRPr="006A68C9">
        <w:softHyphen/>
        <w:t xml:space="preserve">schen Möglichkeiten gegeben ist und wer die zuständige </w:t>
      </w:r>
      <w:r w:rsidRPr="006A68C9">
        <w:lastRenderedPageBreak/>
        <w:t>Ansprechperson (samt Vertretung) ist. Kasualbegehrende können erwarten, dass in der kirchen</w:t>
      </w:r>
      <w:r w:rsidRPr="006A68C9">
        <w:softHyphen/>
        <w:t>musikalischen Gestaltung Orgelbegleitung für Lieder aus dem Gesangbuch (samt Anhang) und angemessene Orgelvor- und nachspielen zur Auswahl stehen.</w:t>
      </w:r>
    </w:p>
    <w:p w:rsidR="00F82D54" w:rsidRPr="006A68C9" w:rsidRDefault="00F82D54" w:rsidP="00F82D54">
      <w:pPr>
        <w:pStyle w:val="These"/>
        <w:numPr>
          <w:ilvl w:val="0"/>
          <w:numId w:val="22"/>
        </w:numPr>
        <w:ind w:left="851" w:hanging="425"/>
      </w:pPr>
      <w:r w:rsidRPr="006A68C9">
        <w:t>Wenn Nicht-Mitglieder der Landeskirche eine Kasualie begehren, dann wird dies wohlwollend geprüft – obwohl sie keinen Anspruch auf die Durchführung von Kasualien haben. Es werden Regelungen für eine finanzielle Beteiligung an den Kosten geschaffen.</w:t>
      </w:r>
    </w:p>
    <w:p w:rsidR="00F82D54" w:rsidRPr="006A68C9" w:rsidRDefault="00F82D54" w:rsidP="00F82D54">
      <w:pPr>
        <w:pStyle w:val="Einrckung2"/>
      </w:pPr>
      <w:r w:rsidRPr="006A68C9">
        <w:t>Wenn Eltern, die keine evangelischen Kirchenmitglieder sind, ihr Kind taufen lassen möchten, dann ist dies möglich, wenn es mindestens eine/n evangelische/n Patin/en gibt, die für die evangelische Erziehung des Kindes eintritt. Kosten fallen keine an.</w:t>
      </w:r>
    </w:p>
    <w:p w:rsidR="00F82D54" w:rsidRPr="006A68C9" w:rsidRDefault="00F82D54" w:rsidP="00F82D54">
      <w:pPr>
        <w:pStyle w:val="Einrckung2"/>
      </w:pPr>
      <w:r w:rsidRPr="006A68C9">
        <w:t>Wenn ein Paar eine evangelische Trauung wünscht, bei dem beide nicht der evangelischen Kirche angehören, und in einem Traugespräch die Gründe für diesen Wunsch nachvollziehbar erscheinen, wird eine Gebühr erhoben, die den real anfallenden Kosten entspricht. Diese Gebühr kann im Einzelfall verringert oder erlassen werden.</w:t>
      </w:r>
    </w:p>
    <w:p w:rsidR="00F82D54" w:rsidRPr="006A68C9" w:rsidRDefault="00F82D54" w:rsidP="00F82D54">
      <w:pPr>
        <w:pStyle w:val="Einrckung2"/>
      </w:pPr>
      <w:r w:rsidRPr="006A68C9">
        <w:t>Wenn eine Trauerfeier für eine Person gewünscht wird, die kein Mitglied der evangelischen Kirche ist, wird eine Gebühr erhoben, die den real anfallenden Kosten entspricht. Diese Gebühr kann im Einzelfall verringert oder erlassen werden, v.a. wenn die Angehörigen Mitglieder der evangelischen Kirche sind.</w:t>
      </w:r>
    </w:p>
    <w:p w:rsidR="00F82D54" w:rsidRPr="006A68C9" w:rsidRDefault="00F82D54" w:rsidP="00F82D54">
      <w:pPr>
        <w:pStyle w:val="These"/>
        <w:numPr>
          <w:ilvl w:val="0"/>
          <w:numId w:val="22"/>
        </w:numPr>
        <w:ind w:left="851" w:hanging="425"/>
      </w:pPr>
      <w:r w:rsidRPr="006A68C9">
        <w:t>Für die Durchführung von Kasualien an sich werden für Kirchenmitglieder keine Gebühren erhoben (keine Stolgebühren). Soweit für ergänzende Leistungen Gebühren anfallen, sind diese in einer Gebührenordnung transparent kommuniziert.</w:t>
      </w:r>
    </w:p>
    <w:p w:rsidR="00F82D54" w:rsidRPr="006A68C9" w:rsidRDefault="00F82D54" w:rsidP="00F82D54">
      <w:pPr>
        <w:pStyle w:val="Handlungsfeld"/>
      </w:pPr>
      <w:r w:rsidRPr="006A68C9">
        <w:t>Die Perspektive der Pfarrpersonen und weiteren Mitarbeitenden ernst nehmen</w:t>
      </w:r>
    </w:p>
    <w:p w:rsidR="00F82D54" w:rsidRPr="006A68C9" w:rsidRDefault="00F82D54" w:rsidP="00F82D54">
      <w:pPr>
        <w:pStyle w:val="These"/>
        <w:numPr>
          <w:ilvl w:val="0"/>
          <w:numId w:val="22"/>
        </w:numPr>
        <w:ind w:left="851" w:hanging="425"/>
      </w:pPr>
      <w:r>
        <w:t>P</w:t>
      </w:r>
      <w:r w:rsidRPr="006A68C9">
        <w:t>farr</w:t>
      </w:r>
      <w:r>
        <w:t>personensehen es als ihre Aufgabe, Menschen in wichtigen biografischen Situationen zu begleiten und mit ihnen Momente der Gottesbegegnung und des Gesegnet-Werdens zu gestalten. Mit den Kasualien haben sie</w:t>
      </w:r>
      <w:r w:rsidRPr="006A68C9">
        <w:t xml:space="preserve"> die Möglichkeit, Kontakte </w:t>
      </w:r>
      <w:r>
        <w:t xml:space="preserve">zu Menschen aus allen Milieus </w:t>
      </w:r>
      <w:r w:rsidRPr="006A68C9">
        <w:t xml:space="preserve">zu knüpfen und damit zur </w:t>
      </w:r>
      <w:r>
        <w:t>Gestaltung einer gastfreundlichen, sorgenden und partnerschaftlichen Gemeinde</w:t>
      </w:r>
      <w:r w:rsidRPr="006A68C9">
        <w:t xml:space="preserve"> beizutragen.</w:t>
      </w:r>
    </w:p>
    <w:p w:rsidR="00F82D54" w:rsidRDefault="00F82D54" w:rsidP="00F82D54">
      <w:pPr>
        <w:pStyle w:val="Einrckung2"/>
      </w:pPr>
      <w:r w:rsidRPr="006A68C9">
        <w:t xml:space="preserve">Alle mit der Durchführung von Kasualien Beauftragten </w:t>
      </w:r>
      <w:r>
        <w:t>genießen eine</w:t>
      </w:r>
      <w:r w:rsidRPr="006A68C9">
        <w:t xml:space="preserve"> Ausbildung in einer diakonisch-seelsorglichen Kasualtheologie, einer kommuni</w:t>
      </w:r>
      <w:r w:rsidRPr="006A68C9">
        <w:softHyphen/>
        <w:t>kative und seelsorgliche Haltung und ritualdidaktischen Kompetenzen.</w:t>
      </w:r>
    </w:p>
    <w:p w:rsidR="00F82D54" w:rsidRDefault="00F82D54" w:rsidP="00F82D54">
      <w:pPr>
        <w:pStyle w:val="Einrckung2"/>
      </w:pPr>
      <w:r>
        <w:t>Sie pflegen eine Kultur der Erreichbarkeit, Zugänglichkeit und Verbindlichkeit – auch und gerade gegenüber Kasualbegehrenden.</w:t>
      </w:r>
    </w:p>
    <w:p w:rsidR="00F82D54" w:rsidRDefault="00F82D54" w:rsidP="00F82D54">
      <w:pPr>
        <w:pStyle w:val="Einrckung2"/>
      </w:pPr>
      <w:r>
        <w:t>Um Zeiten der Privatheit zu schützen, organisieren Bezirke und Regionen Mechanismen der Kontaktaufnahme und Vermittlung. Dazu entwickeln Bezirke und Regionalgruppen ihr Teambewusstsein und ihre Teamarbeit kontinuierlich weiter.</w:t>
      </w:r>
    </w:p>
    <w:p w:rsidR="00F82D54" w:rsidRPr="006A68C9" w:rsidRDefault="00F82D54" w:rsidP="00F82D54">
      <w:pPr>
        <w:pStyle w:val="Einrckung2"/>
      </w:pPr>
      <w:r>
        <w:t>Durch Kontakte zu Wedding-Planern (vgl. Bestattungsämter und Bestattungsinstituten) wird die Einbeziehung in Hochzeitsplanungen gefördert.</w:t>
      </w:r>
    </w:p>
    <w:p w:rsidR="00F82D54" w:rsidRPr="006A68C9" w:rsidRDefault="00F82D54" w:rsidP="00F82D54">
      <w:pPr>
        <w:pStyle w:val="Einrckung2"/>
      </w:pPr>
      <w:r w:rsidRPr="006A68C9">
        <w:t>Wenn eine Pfarrperson mit einer Kasualie für ein Gemeindeglied einer anderen Parochie beauftragt wird, informiert sie vor der Durchführung der Kasualie schriftlich das für das Gemeindeglied zuständige Pfarramt.</w:t>
      </w:r>
    </w:p>
    <w:p w:rsidR="00F82D54" w:rsidRPr="006A68C9" w:rsidRDefault="00F82D54" w:rsidP="00F82D54">
      <w:pPr>
        <w:pStyle w:val="Einrckung2"/>
      </w:pPr>
      <w:r w:rsidRPr="006A68C9">
        <w:t>Wenn eine Pfarrperson mit der Durchführung einer Kasualie außerhalb der zuständigen Parochie beauftragt wird, informiert sie vor der Durchführung der Kasualie schriftlich das am Ort der Durchführung zuständige Pfarramt.</w:t>
      </w:r>
    </w:p>
    <w:p w:rsidR="00F82D54" w:rsidRPr="006A68C9" w:rsidRDefault="00F82D54" w:rsidP="00F82D54">
      <w:pPr>
        <w:pStyle w:val="Einrckung2"/>
      </w:pPr>
      <w:r w:rsidRPr="006A68C9">
        <w:t xml:space="preserve">Wenn das Dekanat eine Pfarrperson mit der Durchführung einer Kasualie außerhalb der eigenen Parochie beauftragt, informiert es zugleich schriftlich die dortige Pfarrperson über den Vorgang. </w:t>
      </w:r>
    </w:p>
    <w:p w:rsidR="00F82D54" w:rsidRPr="006A68C9" w:rsidRDefault="00F82D54" w:rsidP="00F82D54">
      <w:pPr>
        <w:pStyle w:val="These"/>
        <w:numPr>
          <w:ilvl w:val="0"/>
          <w:numId w:val="22"/>
        </w:numPr>
        <w:ind w:left="851"/>
      </w:pPr>
      <w:r w:rsidRPr="006A68C9">
        <w:lastRenderedPageBreak/>
        <w:t>Die Belastung von Pfarrpersonen durch besondere Ortwünsche von Kasualbegeh</w:t>
      </w:r>
      <w:r w:rsidRPr="006A68C9">
        <w:softHyphen/>
        <w:t>renden muss begrenzt bleiben.</w:t>
      </w:r>
    </w:p>
    <w:p w:rsidR="00F82D54" w:rsidRPr="006A68C9" w:rsidRDefault="00F82D54" w:rsidP="00F82D54">
      <w:pPr>
        <w:pStyle w:val="Einrckung2"/>
      </w:pPr>
      <w:r w:rsidRPr="006A68C9">
        <w:t>Nach Parochialrecht zuständigen Gemeindepfarrer*innen kann zugemutet werden, innerhalb des Kirchenbezirks auch auswärtige Kasualien durchzu</w:t>
      </w:r>
      <w:r w:rsidRPr="006A68C9">
        <w:softHyphen/>
        <w:t>führen. Wenn die Kasualie in einem anderen Kirchenbezirk durchgeführt werden soll, dann kann eine angefragte Pfarrperson das ablehnen; muss sich aber um die Vermittlung einer anderen Pfarrperson kümmern.</w:t>
      </w:r>
    </w:p>
    <w:p w:rsidR="00F82D54" w:rsidRPr="006A68C9" w:rsidRDefault="00F82D54" w:rsidP="00F82D54">
      <w:pPr>
        <w:pStyle w:val="Einrckung2"/>
      </w:pPr>
      <w:r w:rsidRPr="006A68C9">
        <w:t>Der Kirchenbezirk ist zuständig für die Durchführung von Kasualien, wenn die Kasualbegehrenden aus einem Ort außerhalb des Kirchenbezirks kommen. Dazu entwickelt der Kirchenbezirk eine Zuständigkeits- und Vertretungs</w:t>
      </w:r>
      <w:r w:rsidRPr="006A68C9">
        <w:softHyphen/>
        <w:t>regelung für Pfarrpersonen und Musiker*innen, die auch einen Ausgleich im Gesamtsystem des Kirchenbezirks umfasst (evt. unter Bildung eines Pools von Personen, deren Tätigkeit als Bezirksauftrag anerkennt wird).</w:t>
      </w:r>
    </w:p>
    <w:p w:rsidR="00F82D54" w:rsidRPr="006A68C9" w:rsidRDefault="00F82D54" w:rsidP="00F82D54">
      <w:pPr>
        <w:pStyle w:val="Einrckung2"/>
      </w:pPr>
      <w:r w:rsidRPr="006A68C9">
        <w:t>Wo Pfarrpersonen die Durchführung einer Kasualie an einem nicht-kirchlichen Ort für nicht zumutbar halten, dem Dekanat die Durchführung der Kasualie aber grundsätzlich als möglich erscheint, wird die Vertretungsregelung des Kirchenbezirkes in Anspruch genommen.</w:t>
      </w:r>
    </w:p>
    <w:p w:rsidR="00F82D54" w:rsidRPr="006A68C9" w:rsidRDefault="00F82D54" w:rsidP="00F82D54">
      <w:pPr>
        <w:pStyle w:val="Einrckung2"/>
      </w:pPr>
      <w:r w:rsidRPr="006A68C9">
        <w:t>Wo Pfarrpersonen die Durchführung einer Kasualie mit den konkreten Kasualbegehrenden ablehnen, wird die Vertretungsregelung des Kirchenbezirks in Anspruch genommen.</w:t>
      </w:r>
    </w:p>
    <w:p w:rsidR="00F82D54" w:rsidRPr="006A68C9" w:rsidRDefault="00F82D54" w:rsidP="00F82D54">
      <w:pPr>
        <w:pStyle w:val="Einrckung2"/>
      </w:pPr>
      <w:r w:rsidRPr="006A68C9">
        <w:t>Fahrtkosten werden Mitarbeitenden nach landeskirchlichen Regelungen vergütet. Die Fahrtkostenerstattung für Fahrten zu Orten außerhalb des Dienstortes zahlt der Kirchenbezirk. Zu Fahrten außerhalb des Kirchenbezirks werden maximal Fahrtkosten für 50 km (einfache Strecke) erstattet. Die Erstattung weiterer Fahrtkosten bei Kasualien außerhalb des eigenen Kirchenbezirks kann die Pfarrperson von den Kasualbegehrenden erbitten.</w:t>
      </w:r>
    </w:p>
    <w:p w:rsidR="00F82D54" w:rsidRPr="006A68C9" w:rsidRDefault="00F82D54" w:rsidP="00F82D54">
      <w:pPr>
        <w:pStyle w:val="Einrckung2"/>
      </w:pPr>
      <w:r w:rsidRPr="006A68C9">
        <w:t>Die notwendigen Abläufe für die Vermittlung von Kasualien außerhalb der Parochien und ihre Durchführung erfordert personelle Ressourcen, die die Kirchenbezirke und die Landeskirche durch Schwerpunktbildung im Rahmen der Stellenpläne bereitstellen.</w:t>
      </w:r>
    </w:p>
    <w:p w:rsidR="00F82D54" w:rsidRPr="006A68C9" w:rsidRDefault="00F82D54" w:rsidP="00F82D54">
      <w:pPr>
        <w:pStyle w:val="These"/>
        <w:numPr>
          <w:ilvl w:val="0"/>
          <w:numId w:val="22"/>
        </w:numPr>
        <w:ind w:left="851" w:hanging="425"/>
      </w:pPr>
      <w:r w:rsidRPr="006A68C9">
        <w:t>Die Belastung von Kirchenmusiker</w:t>
      </w:r>
      <w:r>
        <w:t>*</w:t>
      </w:r>
      <w:r w:rsidRPr="006A68C9">
        <w:t>innen muss begrenzt bleiben.</w:t>
      </w:r>
    </w:p>
    <w:p w:rsidR="00F82D54" w:rsidRPr="006A68C9" w:rsidRDefault="00F82D54" w:rsidP="00F82D54">
      <w:pPr>
        <w:pStyle w:val="Einrckung2"/>
      </w:pPr>
      <w:r w:rsidRPr="006A68C9">
        <w:t xml:space="preserve">Im Wege eines Informationsblattes für eine Kirche </w:t>
      </w:r>
      <w:r>
        <w:t>eröffnen</w:t>
      </w:r>
      <w:r w:rsidRPr="006A68C9">
        <w:t xml:space="preserve"> angestellte Kirchenmusi</w:t>
      </w:r>
      <w:r w:rsidRPr="006A68C9">
        <w:softHyphen/>
        <w:t>ker</w:t>
      </w:r>
      <w:r>
        <w:t>*</w:t>
      </w:r>
      <w:r w:rsidRPr="006A68C9">
        <w:t>innen</w:t>
      </w:r>
      <w:r>
        <w:t>eine Kontaktmöglichkeit und klären</w:t>
      </w:r>
      <w:r w:rsidRPr="006A68C9">
        <w:t>, welche Leistungen sie ohne Mehraufwand erbringen können. Die Begleitung von Liedern aus dem Gesangbuch (inkl. Anhang) und angemessene Vor- und Nachspiele gehören zum Standard.</w:t>
      </w:r>
    </w:p>
    <w:p w:rsidR="00F82D54" w:rsidRPr="006A68C9" w:rsidRDefault="00F82D54" w:rsidP="00F82D54">
      <w:pPr>
        <w:pStyle w:val="Einrckung2"/>
      </w:pPr>
      <w:r w:rsidRPr="006A68C9">
        <w:t>Wenn der Aufwand darüber hinausgeht (z.B. auch in der Begleitung externer Musiker/innen), kommt eine Abrechnung von Mehrarbeitsvergütung in Betracht. Sofern dies von den Kasualbegehrenden übernommen werden soll, wird dies den Kasualbegehrenden rechtzeitig kommuniziert. Dazu wird eine Gebührenordnung erlassen.</w:t>
      </w:r>
    </w:p>
    <w:p w:rsidR="00F82D54" w:rsidRDefault="00F82D54" w:rsidP="00F82D54">
      <w:pPr>
        <w:pStyle w:val="These"/>
        <w:numPr>
          <w:ilvl w:val="0"/>
          <w:numId w:val="22"/>
        </w:numPr>
        <w:ind w:left="851" w:hanging="425"/>
      </w:pPr>
      <w:r w:rsidRPr="006A68C9">
        <w:t xml:space="preserve">Die Verantwortung für die Gestaltung liegt bei </w:t>
      </w:r>
      <w:r>
        <w:t xml:space="preserve">der/dem </w:t>
      </w:r>
      <w:r w:rsidRPr="006A68C9">
        <w:t>Liturg</w:t>
      </w:r>
      <w:r>
        <w:t>*</w:t>
      </w:r>
      <w:r w:rsidRPr="006A68C9">
        <w:t xml:space="preserve">in nach Rücksprache mit </w:t>
      </w:r>
      <w:r>
        <w:t xml:space="preserve">der/dem </w:t>
      </w:r>
      <w:r w:rsidRPr="006A68C9">
        <w:t>Kirchenmusiker</w:t>
      </w:r>
      <w:r>
        <w:t>*</w:t>
      </w:r>
      <w:r w:rsidRPr="006A68C9">
        <w:t>in. Dies gibt auch die Möglichkeit, Grenzen zu setzen.</w:t>
      </w:r>
    </w:p>
    <w:p w:rsidR="00F82D54" w:rsidRDefault="00F82D54" w:rsidP="00F82D54">
      <w:pPr>
        <w:pStyle w:val="These"/>
        <w:numPr>
          <w:ilvl w:val="0"/>
          <w:numId w:val="22"/>
        </w:numPr>
        <w:ind w:left="851" w:hanging="425"/>
      </w:pPr>
      <w:r>
        <w:t xml:space="preserve">Die Belastung von Kirchendiener*innen muss begrenzt bleiben. </w:t>
      </w:r>
    </w:p>
    <w:p w:rsidR="00F82D54" w:rsidRDefault="00F82D54" w:rsidP="00F82D54">
      <w:pPr>
        <w:pStyle w:val="Einrckung2"/>
      </w:pPr>
      <w:r>
        <w:t>Eine Regelung über Mehrarbeitsvergütung wie für die Kirchenmusiker*innen muss auch für sie getroffen werden.</w:t>
      </w:r>
    </w:p>
    <w:p w:rsidR="00F82D54" w:rsidRPr="006A68C9" w:rsidRDefault="00F82D54" w:rsidP="00F82D54">
      <w:pPr>
        <w:pStyle w:val="Einrckung2"/>
      </w:pPr>
      <w:r>
        <w:t>Wenn eine Gemeinde keine*n angestellte*n Kirchendiener*in hat, muss dafür eine andere Lösung gefunden werden.</w:t>
      </w:r>
    </w:p>
    <w:p w:rsidR="00F82D54" w:rsidRPr="006A68C9" w:rsidRDefault="00F82D54" w:rsidP="00F82D54">
      <w:pPr>
        <w:pStyle w:val="Handlungsfeld"/>
      </w:pPr>
      <w:r w:rsidRPr="006A68C9">
        <w:lastRenderedPageBreak/>
        <w:t>Die Perspektive der Gemeinden ernst nehmen</w:t>
      </w:r>
    </w:p>
    <w:p w:rsidR="00F82D54" w:rsidRPr="006A68C9" w:rsidRDefault="00F82D54" w:rsidP="00F82D54">
      <w:pPr>
        <w:pStyle w:val="These"/>
        <w:numPr>
          <w:ilvl w:val="0"/>
          <w:numId w:val="22"/>
        </w:numPr>
        <w:ind w:left="851" w:hanging="425"/>
      </w:pPr>
      <w:r w:rsidRPr="006A68C9">
        <w:t xml:space="preserve">Kasualien </w:t>
      </w:r>
      <w:r>
        <w:t>bieten Gemeinden die</w:t>
      </w:r>
      <w:r w:rsidRPr="006A68C9">
        <w:t xml:space="preserve"> Möglichkeiten</w:t>
      </w:r>
      <w:r>
        <w:t xml:space="preserve">, sich den Menschen, die wichtige Punkte ihres Lebens gottesdienstlich gestalten möchten, als gastfreundlich, sorgend und partnerschaftlich zu präsentieren und so deren Interesse zu gewinnen. </w:t>
      </w:r>
      <w:r w:rsidRPr="006A68C9">
        <w:t xml:space="preserve">Gemeinden </w:t>
      </w:r>
      <w:r>
        <w:t>laden</w:t>
      </w:r>
      <w:r w:rsidRPr="006A68C9">
        <w:t xml:space="preserve"> dazu ein, Kasualien zu feiern, </w:t>
      </w:r>
      <w:r>
        <w:t xml:space="preserve">und schaffen so Anlässe für ein Kasualbegehren. </w:t>
      </w:r>
      <w:r w:rsidRPr="006A68C9">
        <w:t>Dazu leistet die Landekirche durch online- und Print-Medien eine gute Unterstützung.</w:t>
      </w:r>
    </w:p>
    <w:p w:rsidR="00F82D54" w:rsidRPr="006A68C9" w:rsidRDefault="00F82D54" w:rsidP="00F82D54">
      <w:pPr>
        <w:pStyle w:val="Einrckung2"/>
      </w:pPr>
      <w:r w:rsidRPr="006A68C9">
        <w:t>Es ist sichergestellt, dass Pfarrämter davon erfahren, wenn Menschen aus ihrer Gemeinde eine Kasualie gefeiert haben (siehe 5).</w:t>
      </w:r>
    </w:p>
    <w:p w:rsidR="00F82D54" w:rsidRDefault="00F82D54" w:rsidP="00F82D54">
      <w:pPr>
        <w:pStyle w:val="Einrckung2"/>
      </w:pPr>
      <w:r w:rsidRPr="006A68C9">
        <w:t>Der Entlassschein wird ersetzt durch geregelte Information.</w:t>
      </w:r>
    </w:p>
    <w:p w:rsidR="00F82D54" w:rsidRPr="006A68C9" w:rsidRDefault="00F82D54" w:rsidP="00F82D54">
      <w:pPr>
        <w:pStyle w:val="Einrckung2"/>
      </w:pPr>
      <w:r>
        <w:t>Um den Gemeindebezug zu verdeutlichen, können bei Taufen außerhalb der Gemeindegottesdienste zwei Kirchenälteste anwesend sein und die Rolle der „Taufzeugen“ wahrnehmen.</w:t>
      </w:r>
    </w:p>
    <w:p w:rsidR="00F82D54" w:rsidRPr="006A68C9" w:rsidRDefault="00F82D54" w:rsidP="00F82D54">
      <w:pPr>
        <w:pStyle w:val="These"/>
        <w:numPr>
          <w:ilvl w:val="0"/>
          <w:numId w:val="22"/>
        </w:numPr>
        <w:ind w:left="851" w:hanging="425"/>
      </w:pPr>
      <w:r w:rsidRPr="006A68C9">
        <w:t xml:space="preserve">Gemeinden können weiterhin Regelungen treffen über die Bedingungen, zu denen Kasualien gefeiert werden (z.B. Taufen nur im Gemeindegottesdienst; Taufen nur an bestimmten Taufsonntagen). </w:t>
      </w:r>
    </w:p>
    <w:p w:rsidR="00F82D54" w:rsidRPr="006A68C9" w:rsidRDefault="00F82D54" w:rsidP="00F82D54">
      <w:pPr>
        <w:pStyle w:val="Einrckung2"/>
      </w:pPr>
      <w:r w:rsidRPr="006A68C9">
        <w:t xml:space="preserve">Diese Regelungen werden im Kirchenbezirk abgestimmt. </w:t>
      </w:r>
    </w:p>
    <w:p w:rsidR="00F82D54" w:rsidRPr="006A68C9" w:rsidRDefault="00F82D54" w:rsidP="00F82D54">
      <w:pPr>
        <w:pStyle w:val="Einrckung2"/>
      </w:pPr>
      <w:r w:rsidRPr="006A68C9">
        <w:t>Der Kirchenbezirk sichert durch Vertretungs-Regelungen, wie Kasualbe</w:t>
      </w:r>
      <w:r w:rsidRPr="006A68C9">
        <w:softHyphen/>
        <w:t>gehrende eine Kasualie feiern können, die jenseits der Regelungen liegt.</w:t>
      </w:r>
    </w:p>
    <w:p w:rsidR="00F82D54" w:rsidRPr="006A68C9" w:rsidRDefault="00F82D54" w:rsidP="00F82D54">
      <w:pPr>
        <w:pStyle w:val="These"/>
        <w:numPr>
          <w:ilvl w:val="0"/>
          <w:numId w:val="22"/>
        </w:numPr>
        <w:ind w:left="851" w:hanging="425"/>
      </w:pPr>
      <w:r w:rsidRPr="006A68C9">
        <w:t>Es bleibt grundsätzlich bei den Zuständigkeitsregelungen des Parochialrechtes, d.h. der Zuständigkeit, die am Wohnort ansetzt – sofern keine andere Zuständigkeit durch Wahl der Kasualbegehrenden etabliert wird.</w:t>
      </w:r>
    </w:p>
    <w:p w:rsidR="00F82D54" w:rsidRPr="006A68C9" w:rsidRDefault="00F82D54" w:rsidP="00F82D54">
      <w:pPr>
        <w:pStyle w:val="These"/>
        <w:numPr>
          <w:ilvl w:val="0"/>
          <w:numId w:val="22"/>
        </w:numPr>
        <w:ind w:left="851" w:hanging="425"/>
      </w:pPr>
      <w:r w:rsidRPr="006A68C9">
        <w:t>Rechtliche Fragen im Zusammenhang mit dem Veranstalter-Status der Gemeinde sind geklärt.</w:t>
      </w:r>
    </w:p>
    <w:p w:rsidR="00F82D54" w:rsidRPr="006A68C9" w:rsidRDefault="00F82D54" w:rsidP="00F82D54">
      <w:pPr>
        <w:pStyle w:val="Einrckung2"/>
      </w:pPr>
      <w:r w:rsidRPr="006A68C9">
        <w:t>Findet eine Kasualie in einem Gebäude oder auf einem Gelände satt, für das eine evangelischen Kirchengemeinde verantwortlich ist, dann ist diese Gemeinde Veranstalter des Kasualgottesdienstes. Damit ist die Zuständigkeit für Kirchen</w:t>
      </w:r>
      <w:r w:rsidRPr="006A68C9">
        <w:softHyphen/>
        <w:t>musik, Kirchendienst, Verkehrssicherungspflicht etc. gegeben.</w:t>
      </w:r>
    </w:p>
    <w:p w:rsidR="00F82D54" w:rsidRPr="006A68C9" w:rsidRDefault="00F82D54" w:rsidP="00F82D54">
      <w:pPr>
        <w:pStyle w:val="Einrckung2"/>
      </w:pPr>
      <w:r w:rsidRPr="006A68C9">
        <w:t>Findet eine Kasualie außerhalb eines kirchlichen Gebäudes statt, ist die Veranstalterver</w:t>
      </w:r>
      <w:r w:rsidRPr="006A68C9">
        <w:softHyphen/>
        <w:t>antwort</w:t>
      </w:r>
      <w:r w:rsidRPr="006A68C9">
        <w:softHyphen/>
        <w:t>lichkeit zu klären (in der Regel die Kasualbegehrenden). Die Verantwortung für die liturgisch-musikalische Gestaltung bleibt bei den liturgisch-musikalisch Verantwortlichen.</w:t>
      </w:r>
    </w:p>
    <w:p w:rsidR="00F82D54" w:rsidRPr="006A68C9" w:rsidRDefault="00F82D54" w:rsidP="00F82D54">
      <w:pPr>
        <w:pStyle w:val="These"/>
        <w:numPr>
          <w:ilvl w:val="0"/>
          <w:numId w:val="22"/>
        </w:numPr>
        <w:ind w:left="851" w:hanging="425"/>
      </w:pPr>
      <w:r w:rsidRPr="006A68C9">
        <w:t xml:space="preserve">Gemeinden, in denen außergewöhnlich viele Kasualien gefeiert werden auf Grund des besonderen Ortes (Traukirchen, Friedwälder) oder auf Grund besonderer Anstrengung, bekommen auf Antrag eine Bonus-Zuweisung zum Ausgleich der damit verbundenen Mehr-Belastungen. </w:t>
      </w:r>
    </w:p>
    <w:p w:rsidR="00F82D54" w:rsidRPr="006A68C9" w:rsidRDefault="00F82D54" w:rsidP="00F82D54">
      <w:pPr>
        <w:pStyle w:val="Einrckung2"/>
      </w:pPr>
      <w:r w:rsidRPr="006A68C9">
        <w:t xml:space="preserve">Welche Gemeinden dies sind, legt der Kirchenbezirk in einer Konzeption fest. </w:t>
      </w:r>
    </w:p>
    <w:p w:rsidR="00F82D54" w:rsidRPr="006A68C9" w:rsidRDefault="00F82D54" w:rsidP="00F82D54">
      <w:pPr>
        <w:pStyle w:val="Einrckung2"/>
      </w:pPr>
      <w:r w:rsidRPr="006A68C9">
        <w:t xml:space="preserve">Die Bonuszuweisung kompensiert </w:t>
      </w:r>
    </w:p>
    <w:p w:rsidR="00F82D54" w:rsidRPr="006A68C9" w:rsidRDefault="00F82D54" w:rsidP="00F82D54">
      <w:pPr>
        <w:pStyle w:val="Einrckung2"/>
        <w:numPr>
          <w:ilvl w:val="1"/>
          <w:numId w:val="19"/>
        </w:numPr>
        <w:ind w:left="1560" w:hanging="284"/>
      </w:pPr>
      <w:r w:rsidRPr="006A68C9">
        <w:t>höheren organisatorischen Aufwand (Pfarrbüro, Kirchendienst),</w:t>
      </w:r>
    </w:p>
    <w:p w:rsidR="00F82D54" w:rsidRPr="006A68C9" w:rsidRDefault="00F82D54" w:rsidP="00F82D54">
      <w:pPr>
        <w:pStyle w:val="Einrckung2"/>
        <w:numPr>
          <w:ilvl w:val="1"/>
          <w:numId w:val="19"/>
        </w:numPr>
        <w:ind w:left="1560" w:hanging="284"/>
      </w:pPr>
      <w:r w:rsidRPr="006A68C9">
        <w:t xml:space="preserve">höheren Aufwand für die Unterhaltung und Reinigung der genutzten Räumlichkeiten, </w:t>
      </w:r>
    </w:p>
    <w:p w:rsidR="00F82D54" w:rsidRPr="006A68C9" w:rsidRDefault="00F82D54" w:rsidP="00F82D54">
      <w:pPr>
        <w:pStyle w:val="Einrckung2"/>
        <w:numPr>
          <w:ilvl w:val="1"/>
          <w:numId w:val="19"/>
        </w:numPr>
        <w:ind w:left="1560" w:hanging="284"/>
      </w:pPr>
      <w:r w:rsidRPr="006A68C9">
        <w:t>zusätzliche Kosten für Kirchenmusik.</w:t>
      </w:r>
    </w:p>
    <w:p w:rsidR="00F82D54" w:rsidRPr="006A68C9" w:rsidRDefault="00F82D54" w:rsidP="00F82D54">
      <w:pPr>
        <w:pStyle w:val="Einrckung2"/>
      </w:pPr>
      <w:r w:rsidRPr="006A68C9">
        <w:t>Dies soll ermöglichen, bestimmte Kirchen auch als Trau- oder Bestattungs</w:t>
      </w:r>
      <w:r w:rsidRPr="006A68C9">
        <w:softHyphen/>
        <w:t>kirchen zu profilieren.</w:t>
      </w:r>
    </w:p>
    <w:p w:rsidR="00F82D54" w:rsidRPr="006A68C9" w:rsidRDefault="00F82D54" w:rsidP="00F82D54">
      <w:pPr>
        <w:pStyle w:val="Einrckung2"/>
      </w:pPr>
      <w:r w:rsidRPr="006A68C9">
        <w:t xml:space="preserve">Die kirchenbezirklichen Vertretungs-Regelungen sorgen dafür (siehe B), dass die örtlichen Pfarrpersonen nicht über Gebühr belastet sind. </w:t>
      </w:r>
    </w:p>
    <w:p w:rsidR="00F82D54" w:rsidRPr="006A68C9" w:rsidRDefault="00F82D54" w:rsidP="00F82D54">
      <w:pPr>
        <w:pStyle w:val="These"/>
        <w:numPr>
          <w:ilvl w:val="0"/>
          <w:numId w:val="22"/>
        </w:numPr>
        <w:ind w:left="851" w:hanging="425"/>
      </w:pPr>
      <w:r w:rsidRPr="006A68C9">
        <w:t>Mehraufwände für Kasualien, die über einen definierten Standard hinausgehen, müssen von den Kasualbegehrenden erstattet werden.</w:t>
      </w:r>
    </w:p>
    <w:p w:rsidR="00F82D54" w:rsidRPr="006A68C9" w:rsidRDefault="00F82D54" w:rsidP="00F82D54">
      <w:pPr>
        <w:pStyle w:val="Einrckung2"/>
      </w:pPr>
      <w:r w:rsidRPr="006A68C9">
        <w:lastRenderedPageBreak/>
        <w:t>Soll die Kasualie außerhalb einer Kirche oder eines kirchlichen Ortes stattfinden, zahlen die Kasualbegehrenden dafür anfallende Extra-Kosten (z.B. Transportkosten.</w:t>
      </w:r>
    </w:p>
    <w:p w:rsidR="00F82D54" w:rsidRPr="006A68C9" w:rsidRDefault="00F82D54" w:rsidP="00F82D54">
      <w:pPr>
        <w:pStyle w:val="Einrckung2"/>
      </w:pPr>
      <w:r w:rsidRPr="006A68C9">
        <w:t xml:space="preserve">Es gibt einen Grundstandard für die musikalische Gestaltung einer Kasualie, der kostenlos zur Verfügung gestellt wird (leistbar mit einer D-Prüfung mit der üblicherweise vergüteten Vorbereitungszeit). Für die Umsetzung darüberhinausgehender Wünsche (z.B. zusätzliche Probenarbeit) übernehmen die Kasualbegehrenden die Kosten (im Rahmen einer Gebührenordnung und der Regelungen für Mehrarbeit). Bei Kasualien außerhalb von Kirchen und Trauerhallen ist davon auszugehen, dass dies jenseits des Grundstandards geschieht. Die Landeskirche wird eine </w:t>
      </w:r>
      <w:r>
        <w:t>G</w:t>
      </w:r>
      <w:r w:rsidRPr="006A68C9">
        <w:t>ebührenordnung erstellen</w:t>
      </w:r>
      <w:r>
        <w:t>, die an örtliche Verhältnisse angepasst werden kann</w:t>
      </w:r>
      <w:r w:rsidRPr="006A68C9">
        <w:t>.</w:t>
      </w:r>
    </w:p>
    <w:p w:rsidR="00F82D54" w:rsidRPr="006A68C9" w:rsidRDefault="00F82D54" w:rsidP="00F82D54">
      <w:pPr>
        <w:pStyle w:val="Einrckung2"/>
      </w:pPr>
      <w:r w:rsidRPr="006A68C9">
        <w:t xml:space="preserve">Für die Nutzung von Kirchenräumen dürfen bei Kirchenmitgliedern keine Gebühren erhoben werden (Verbot!). </w:t>
      </w:r>
    </w:p>
    <w:p w:rsidR="00F82D54" w:rsidRPr="006A68C9" w:rsidRDefault="00F82D54" w:rsidP="00F82D54">
      <w:pPr>
        <w:pStyle w:val="Einrckung2"/>
      </w:pPr>
      <w:r w:rsidRPr="006A68C9">
        <w:t xml:space="preserve">Bei Kasualien von Personen, die nicht Mitglieder der Landeskirche sind, kann Miete für die Nutzung des Raumes erhoben werden. Hierzu gibt es eine </w:t>
      </w:r>
      <w:r>
        <w:t xml:space="preserve">landeskirchliche </w:t>
      </w:r>
      <w:r w:rsidRPr="006A68C9">
        <w:t>Gebührenordnung</w:t>
      </w:r>
      <w:r>
        <w:t>, die durch Gemeinden an ihre jeweilige Situation angepasst werden kann</w:t>
      </w:r>
      <w:r w:rsidRPr="006A68C9">
        <w:t xml:space="preserve">. Kirchenräume werden für Kasualien vergeben an Mitglieder aus ACK-Kirchen, aus Kirchen der Evangelischen Allianz und aus Kirchen, die Mitglied im Konvent Internationaler Gemeinden sind. Bei Mitgliedern anderer Kirchen wird im Einzelfall entschieden. </w:t>
      </w:r>
    </w:p>
    <w:p w:rsidR="00F82D54" w:rsidRPr="006A68C9" w:rsidRDefault="00F82D54" w:rsidP="00F82D54">
      <w:pPr>
        <w:pStyle w:val="Handlungsfeld"/>
      </w:pPr>
      <w:r w:rsidRPr="006A68C9">
        <w:t>Die Perspektive der Landeskirche ernst nehmen</w:t>
      </w:r>
    </w:p>
    <w:p w:rsidR="00F82D54" w:rsidRPr="006A68C9" w:rsidRDefault="00F82D54" w:rsidP="00F82D54">
      <w:pPr>
        <w:pStyle w:val="These"/>
        <w:numPr>
          <w:ilvl w:val="0"/>
          <w:numId w:val="22"/>
        </w:numPr>
        <w:ind w:left="851" w:hanging="425"/>
      </w:pPr>
      <w:r w:rsidRPr="006A68C9">
        <w:t>Für die Mitgliederorientierung werden die Daten von Kasualbegehrenden zentral verfügbar gemacht.</w:t>
      </w:r>
    </w:p>
    <w:p w:rsidR="00F82D54" w:rsidRPr="006A68C9" w:rsidRDefault="00F82D54" w:rsidP="00F82D54">
      <w:pPr>
        <w:pStyle w:val="These"/>
        <w:numPr>
          <w:ilvl w:val="0"/>
          <w:numId w:val="22"/>
        </w:numPr>
        <w:ind w:left="851" w:hanging="425"/>
      </w:pPr>
      <w:r w:rsidRPr="006A68C9">
        <w:t>Die Eintragung in Kirchenbücher ist geregelt, auch wenn eine Kasualie durch eine Person durchgeführt wird, die parochialrechtlich nicht zuständig ist.</w:t>
      </w:r>
    </w:p>
    <w:p w:rsidR="00F82D54" w:rsidRPr="006A68C9" w:rsidRDefault="00F82D54" w:rsidP="00F82D54">
      <w:pPr>
        <w:pStyle w:val="These"/>
        <w:numPr>
          <w:ilvl w:val="0"/>
          <w:numId w:val="22"/>
        </w:numPr>
        <w:ind w:left="851" w:hanging="425"/>
      </w:pPr>
      <w:r w:rsidRPr="006A68C9">
        <w:t>Die Vergütung der Kirchenmusiker/innen für Trauungen ist unter der Perspektive der Attraktivität zur Durchführung von Trauungen in der ARK noch einmal neu zu beraten (Anerkannter Stundensatz).</w:t>
      </w:r>
    </w:p>
    <w:p w:rsidR="00F82D54" w:rsidRPr="006A68C9" w:rsidRDefault="00F82D54" w:rsidP="00F82D54">
      <w:pPr>
        <w:pStyle w:val="These"/>
        <w:numPr>
          <w:ilvl w:val="0"/>
          <w:numId w:val="22"/>
        </w:numPr>
        <w:ind w:left="851" w:hanging="425"/>
      </w:pPr>
      <w:r w:rsidRPr="006A68C9">
        <w:t xml:space="preserve">Es wird zu diesem Gegenstand für die ganze EKIBA ein gesetzlicher Regelungsrahmen geschaffen, der </w:t>
      </w:r>
    </w:p>
    <w:p w:rsidR="00F82D54" w:rsidRPr="006A68C9" w:rsidRDefault="00F82D54" w:rsidP="00F82D54">
      <w:pPr>
        <w:pStyle w:val="These"/>
        <w:numPr>
          <w:ilvl w:val="0"/>
          <w:numId w:val="20"/>
        </w:numPr>
        <w:ind w:left="1134" w:hanging="283"/>
      </w:pPr>
      <w:r w:rsidRPr="006A68C9">
        <w:t>die betreffenden Bestimmungen in den Lebensordnungen in einer Regelung zusammenzieht,</w:t>
      </w:r>
    </w:p>
    <w:p w:rsidR="00F82D54" w:rsidRPr="006A68C9" w:rsidRDefault="00F82D54" w:rsidP="00F82D54">
      <w:pPr>
        <w:pStyle w:val="These"/>
        <w:numPr>
          <w:ilvl w:val="0"/>
          <w:numId w:val="20"/>
        </w:numPr>
        <w:ind w:left="1134" w:hanging="283"/>
      </w:pPr>
      <w:r w:rsidRPr="006A68C9">
        <w:t>die Einheitlichkeit der Regelungen bei den verschiedenen Kasualien und in der ganzen Landeskirche sichert.</w:t>
      </w:r>
    </w:p>
    <w:p w:rsidR="00F82D54" w:rsidRPr="006A68C9" w:rsidRDefault="00F82D54" w:rsidP="00F82D54">
      <w:pPr>
        <w:pStyle w:val="These"/>
        <w:numPr>
          <w:ilvl w:val="0"/>
          <w:numId w:val="22"/>
        </w:numPr>
        <w:ind w:left="851" w:hanging="425"/>
      </w:pPr>
      <w:r w:rsidRPr="006A68C9">
        <w:t>Um das fluide Feld der Kasualien weiter zu entwickeln wird eine agile Dienstgruppe mit allen an der Aus- und Fortbildung und der Organisation der Kasualien gebildet.</w:t>
      </w:r>
    </w:p>
    <w:p w:rsidR="00F82D54" w:rsidRPr="006A68C9" w:rsidRDefault="00F82D54" w:rsidP="00F82D54">
      <w:pPr>
        <w:pStyle w:val="These"/>
        <w:numPr>
          <w:ilvl w:val="0"/>
          <w:numId w:val="22"/>
        </w:numPr>
        <w:ind w:left="851" w:hanging="425"/>
      </w:pPr>
      <w:r w:rsidRPr="006A68C9">
        <w:t>Die Etablierung von 2 Modellbezirken mit jeweils einem hoch frequentierten Kasualort (Friedwald oder Hochzeitskirche) und einer Kasualvermittlung wird geprüft.</w:t>
      </w:r>
    </w:p>
    <w:p w:rsidR="0063233B" w:rsidRDefault="0063233B" w:rsidP="00014D58">
      <w:pPr>
        <w:tabs>
          <w:tab w:val="left" w:pos="567"/>
          <w:tab w:val="right" w:pos="9072"/>
        </w:tabs>
        <w:spacing w:after="120"/>
        <w:rPr>
          <w:rFonts w:ascii="Trebuchet MS" w:hAnsi="Trebuchet MS"/>
        </w:rPr>
      </w:pPr>
    </w:p>
    <w:sectPr w:rsidR="0063233B" w:rsidSect="00F53250">
      <w:pgSz w:w="11906" w:h="16838"/>
      <w:pgMar w:top="1134" w:right="1418" w:bottom="1134" w:left="1418" w:header="720" w:footer="164"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CB4" w:rsidRPr="00735E51" w:rsidRDefault="008A0CB4" w:rsidP="00735E51">
      <w:pPr>
        <w:pStyle w:val="Fuzeile"/>
      </w:pPr>
    </w:p>
  </w:endnote>
  <w:endnote w:type="continuationSeparator" w:id="1">
    <w:p w:rsidR="008A0CB4" w:rsidRDefault="008A0C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765914"/>
      <w:docPartObj>
        <w:docPartGallery w:val="Page Numbers (Bottom of Page)"/>
        <w:docPartUnique/>
      </w:docPartObj>
    </w:sdtPr>
    <w:sdtContent>
      <w:p w:rsidR="00F82D54" w:rsidRDefault="003552F9" w:rsidP="003432ED">
        <w:pPr>
          <w:pStyle w:val="Fuzeile"/>
          <w:jc w:val="center"/>
        </w:pPr>
        <w:r>
          <w:fldChar w:fldCharType="begin"/>
        </w:r>
        <w:r w:rsidR="00F82D54">
          <w:instrText>PAGE   \* MERGEFORMAT</w:instrText>
        </w:r>
        <w:r>
          <w:fldChar w:fldCharType="separate"/>
        </w:r>
        <w:r w:rsidR="00523C21">
          <w:rPr>
            <w:noProof/>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CB4" w:rsidRDefault="008A0CB4">
      <w:pPr>
        <w:spacing w:after="0"/>
      </w:pPr>
      <w:r>
        <w:separator/>
      </w:r>
    </w:p>
  </w:footnote>
  <w:footnote w:type="continuationSeparator" w:id="1">
    <w:p w:rsidR="008A0CB4" w:rsidRDefault="008A0CB4">
      <w:pPr>
        <w:spacing w:after="0"/>
      </w:pPr>
      <w:r>
        <w:continuationSeparator/>
      </w:r>
    </w:p>
  </w:footnote>
  <w:footnote w:id="2">
    <w:p w:rsidR="00F251BC" w:rsidRDefault="00F251BC" w:rsidP="00F251BC">
      <w:pPr>
        <w:pStyle w:val="Funote"/>
      </w:pPr>
      <w:r>
        <w:rPr>
          <w:rStyle w:val="Funotenzeichen"/>
          <w:rFonts w:eastAsiaTheme="minorEastAsia"/>
        </w:rPr>
        <w:footnoteRef/>
      </w:r>
      <w:r>
        <w:tab/>
        <w:t>Kristian Fechtner</w:t>
      </w:r>
    </w:p>
  </w:footnote>
  <w:footnote w:id="3">
    <w:p w:rsidR="00F82D54" w:rsidRDefault="00F82D54" w:rsidP="00F82D54">
      <w:pPr>
        <w:pStyle w:val="Funotentext"/>
        <w:tabs>
          <w:tab w:val="left" w:pos="284"/>
        </w:tabs>
        <w:ind w:left="284" w:hanging="284"/>
      </w:pPr>
      <w:r>
        <w:rPr>
          <w:rStyle w:val="Funotenzeichen"/>
          <w:rFonts w:eastAsiaTheme="minorEastAsia"/>
        </w:rPr>
        <w:footnoteRef/>
      </w:r>
      <w:r>
        <w:tab/>
        <w:t>Thomas Klie</w:t>
      </w:r>
    </w:p>
  </w:footnote>
  <w:footnote w:id="4">
    <w:p w:rsidR="00F82D54" w:rsidRPr="00C979CC" w:rsidRDefault="00F82D54" w:rsidP="00F82D54">
      <w:pPr>
        <w:pStyle w:val="Funote"/>
      </w:pPr>
      <w:r>
        <w:rPr>
          <w:rStyle w:val="Funotenzeichen"/>
          <w:rFonts w:eastAsiaTheme="minorEastAsia"/>
        </w:rPr>
        <w:footnoteRef/>
      </w:r>
      <w:r>
        <w:tab/>
      </w:r>
      <w:r w:rsidRPr="00C979CC">
        <w:t xml:space="preserve">Der Begriff „Kasualbegehrende“ klingt etwas technisch und nicht besonders menschenfreundlich. Allerdings wurde bisher kein besserer Begriff geprägt. Er bezeichnet „Menschen, die eine Kasualie in Anspruch nehmen möchten“. </w:t>
      </w:r>
    </w:p>
  </w:footnote>
  <w:footnote w:id="5">
    <w:p w:rsidR="00F82D54" w:rsidRDefault="00F82D54" w:rsidP="00F82D54">
      <w:pPr>
        <w:pStyle w:val="Funote"/>
      </w:pPr>
      <w:r>
        <w:rPr>
          <w:rStyle w:val="Funotenzeichen"/>
          <w:rFonts w:eastAsiaTheme="minorEastAsia"/>
        </w:rPr>
        <w:footnoteRef/>
      </w:r>
      <w:r>
        <w:tab/>
        <w:t>Mit „</w:t>
      </w:r>
      <w:r w:rsidR="00C12B18">
        <w:t>liturgisch Handelnden</w:t>
      </w:r>
      <w:r>
        <w:t>“ sind hier Pfarrer*innen (auch solche mit außergemeindlichen Dienstaufträgen), Diakon*innen, Prädikant*innen und Pfarrer*innen im Ruhestand gemeint – also Personen mit einer kirchlichen Berufung zur öffentlichen Verkündigung.</w:t>
      </w:r>
    </w:p>
    <w:p w:rsidR="00F82D54" w:rsidRDefault="00F82D54" w:rsidP="00F82D54">
      <w:pPr>
        <w:pStyle w:val="Funotentext"/>
      </w:pPr>
    </w:p>
  </w:footnote>
  <w:footnote w:id="6">
    <w:p w:rsidR="00F82D54" w:rsidRDefault="00F82D54" w:rsidP="00F82D54">
      <w:pPr>
        <w:pStyle w:val="Funote"/>
      </w:pPr>
      <w:r>
        <w:rPr>
          <w:rStyle w:val="Funotenzeichen"/>
          <w:rFonts w:eastAsiaTheme="minorEastAsia"/>
        </w:rPr>
        <w:footnoteRef/>
      </w:r>
      <w:r w:rsidRPr="00C979CC">
        <w:tab/>
        <w:t xml:space="preserve">Der Begriff „Kasualbegehrende“ klingt etwas technisch und nicht besonders menschenfreundlich. Allerdings wurde bisher kein besserer Begriff geprägt. Er bezeichnet „Menschen, die eine Kasualie in Anspruch nehmen möchten“. </w:t>
      </w:r>
    </w:p>
  </w:footnote>
  <w:footnote w:id="7">
    <w:p w:rsidR="00F82D54" w:rsidRDefault="00F82D54" w:rsidP="00F82D54">
      <w:pPr>
        <w:pStyle w:val="Funote"/>
      </w:pPr>
      <w:r>
        <w:rPr>
          <w:rStyle w:val="Funotenzeichen"/>
          <w:rFonts w:eastAsiaTheme="minorEastAsia"/>
        </w:rPr>
        <w:footnoteRef/>
      </w:r>
      <w:r>
        <w:tab/>
        <w:t>Mit „Pfarrperson“ sind hier Pfarrer*innen (auch solche mit außergemeindlichen Dienstaufträgen), Diakon*innen, Prädikant*innen und Pfarrer*innen im Ruhestand gemeint – also Personen mit einer kirchlichen Berufung zur öffentlichen Verkündigung.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D54" w:rsidRDefault="003552F9" w:rsidP="00F07BB9">
    <w:pPr>
      <w:pStyle w:val="Kopfzeile"/>
      <w:framePr w:wrap="around" w:vAnchor="text" w:hAnchor="margin" w:xAlign="center" w:y="1"/>
      <w:rPr>
        <w:rStyle w:val="Seitenzahl"/>
      </w:rPr>
    </w:pPr>
    <w:r>
      <w:rPr>
        <w:rStyle w:val="Seitenzahl"/>
      </w:rPr>
      <w:fldChar w:fldCharType="begin"/>
    </w:r>
    <w:r w:rsidR="00F82D54">
      <w:rPr>
        <w:rStyle w:val="Seitenzahl"/>
      </w:rPr>
      <w:instrText xml:space="preserve">PAGE  </w:instrText>
    </w:r>
    <w:r>
      <w:rPr>
        <w:rStyle w:val="Seitenzahl"/>
      </w:rPr>
      <w:fldChar w:fldCharType="separate"/>
    </w:r>
    <w:r w:rsidR="00F82D54">
      <w:rPr>
        <w:rStyle w:val="Seitenzahl"/>
        <w:noProof/>
      </w:rPr>
      <w:t>2</w:t>
    </w:r>
    <w:r>
      <w:rPr>
        <w:rStyle w:val="Seitenzahl"/>
      </w:rPr>
      <w:fldChar w:fldCharType="end"/>
    </w:r>
  </w:p>
  <w:p w:rsidR="00F82D54" w:rsidRDefault="00F82D54">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601EC"/>
    <w:multiLevelType w:val="hybridMultilevel"/>
    <w:tmpl w:val="BDCE0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7C75DB5"/>
    <w:multiLevelType w:val="hybridMultilevel"/>
    <w:tmpl w:val="43022B02"/>
    <w:lvl w:ilvl="0" w:tplc="D54A307C">
      <w:start w:val="1"/>
      <w:numFmt w:val="decimal"/>
      <w:lvlText w:val="%1."/>
      <w:lvlJc w:val="left"/>
      <w:pPr>
        <w:ind w:left="360" w:hanging="360"/>
      </w:pPr>
      <w:rPr>
        <w:rFonts w:hint="default"/>
      </w:rPr>
    </w:lvl>
    <w:lvl w:ilvl="1" w:tplc="04070001">
      <w:start w:val="1"/>
      <w:numFmt w:val="bullet"/>
      <w:lvlText w:val=""/>
      <w:lvlJc w:val="left"/>
      <w:pPr>
        <w:ind w:left="107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B037E81"/>
    <w:multiLevelType w:val="hybridMultilevel"/>
    <w:tmpl w:val="E5EA0922"/>
    <w:lvl w:ilvl="0" w:tplc="04070001">
      <w:start w:val="1"/>
      <w:numFmt w:val="bullet"/>
      <w:lvlText w:val=""/>
      <w:lvlJc w:val="left"/>
      <w:pPr>
        <w:ind w:left="360" w:hanging="360"/>
      </w:pPr>
      <w:rPr>
        <w:rFonts w:ascii="Symbol" w:hAnsi="Symbol" w:hint="default"/>
      </w:rPr>
    </w:lvl>
    <w:lvl w:ilvl="1" w:tplc="7D3AB452">
      <w:start w:val="1"/>
      <w:numFmt w:val="lowerLetter"/>
      <w:lvlText w:val="%2."/>
      <w:lvlJc w:val="left"/>
      <w:pPr>
        <w:ind w:left="107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F6F24D3"/>
    <w:multiLevelType w:val="hybridMultilevel"/>
    <w:tmpl w:val="B26EA11E"/>
    <w:lvl w:ilvl="0" w:tplc="1F625420">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24724DD"/>
    <w:multiLevelType w:val="hybridMultilevel"/>
    <w:tmpl w:val="9CC25DB6"/>
    <w:lvl w:ilvl="0" w:tplc="A7FE54DE">
      <w:start w:val="1"/>
      <w:numFmt w:val="upperLetter"/>
      <w:pStyle w:val="Abschnit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25B4745"/>
    <w:multiLevelType w:val="hybridMultilevel"/>
    <w:tmpl w:val="BDCE0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28B2FAA"/>
    <w:multiLevelType w:val="hybridMultilevel"/>
    <w:tmpl w:val="BDCE0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AF17328"/>
    <w:multiLevelType w:val="hybridMultilevel"/>
    <w:tmpl w:val="BDCE0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1FE7EBC"/>
    <w:multiLevelType w:val="hybridMultilevel"/>
    <w:tmpl w:val="4F1406C0"/>
    <w:lvl w:ilvl="0" w:tplc="D54A307C">
      <w:start w:val="1"/>
      <w:numFmt w:val="decimal"/>
      <w:lvlText w:val="%1."/>
      <w:lvlJc w:val="left"/>
      <w:pPr>
        <w:ind w:left="360" w:hanging="360"/>
      </w:pPr>
      <w:rPr>
        <w:rFonts w:hint="default"/>
      </w:rPr>
    </w:lvl>
    <w:lvl w:ilvl="1" w:tplc="48E050D6">
      <w:start w:val="1"/>
      <w:numFmt w:val="lowerLetter"/>
      <w:pStyle w:val="Einrckung2"/>
      <w:lvlText w:val="%2."/>
      <w:lvlJc w:val="left"/>
      <w:pPr>
        <w:ind w:left="107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6961D6E"/>
    <w:multiLevelType w:val="singleLevel"/>
    <w:tmpl w:val="04070011"/>
    <w:lvl w:ilvl="0">
      <w:start w:val="1"/>
      <w:numFmt w:val="decimal"/>
      <w:lvlText w:val="%1)"/>
      <w:lvlJc w:val="left"/>
      <w:pPr>
        <w:tabs>
          <w:tab w:val="num" w:pos="360"/>
        </w:tabs>
        <w:ind w:left="360" w:hanging="360"/>
      </w:pPr>
    </w:lvl>
  </w:abstractNum>
  <w:abstractNum w:abstractNumId="10">
    <w:nsid w:val="4CD4208F"/>
    <w:multiLevelType w:val="hybridMultilevel"/>
    <w:tmpl w:val="BDCE0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E816C7E"/>
    <w:multiLevelType w:val="hybridMultilevel"/>
    <w:tmpl w:val="F9BE83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FDF2D2A"/>
    <w:multiLevelType w:val="hybridMultilevel"/>
    <w:tmpl w:val="BDCE0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264687B"/>
    <w:multiLevelType w:val="hybridMultilevel"/>
    <w:tmpl w:val="96F257C4"/>
    <w:lvl w:ilvl="0" w:tplc="A0B8389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44D3B66"/>
    <w:multiLevelType w:val="hybridMultilevel"/>
    <w:tmpl w:val="BDCE0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57E6CC2"/>
    <w:multiLevelType w:val="hybridMultilevel"/>
    <w:tmpl w:val="116810D8"/>
    <w:lvl w:ilvl="0" w:tplc="D54A307C">
      <w:start w:val="1"/>
      <w:numFmt w:val="decimal"/>
      <w:pStyle w:val="Einrckung1"/>
      <w:lvlText w:val="%1."/>
      <w:lvlJc w:val="left"/>
      <w:pPr>
        <w:ind w:left="360" w:hanging="360"/>
      </w:pPr>
      <w:rPr>
        <w:rFonts w:hint="default"/>
      </w:rPr>
    </w:lvl>
    <w:lvl w:ilvl="1" w:tplc="7D3AB452">
      <w:start w:val="1"/>
      <w:numFmt w:val="lowerLetter"/>
      <w:lvlText w:val="%2."/>
      <w:lvlJc w:val="left"/>
      <w:pPr>
        <w:ind w:left="107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7946423"/>
    <w:multiLevelType w:val="hybridMultilevel"/>
    <w:tmpl w:val="BDCE0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8653CD7"/>
    <w:multiLevelType w:val="hybridMultilevel"/>
    <w:tmpl w:val="BDCE0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98B40CB"/>
    <w:multiLevelType w:val="hybridMultilevel"/>
    <w:tmpl w:val="BDCE0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75F61FC7"/>
    <w:multiLevelType w:val="hybridMultilevel"/>
    <w:tmpl w:val="BDCE0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8547500"/>
    <w:multiLevelType w:val="hybridMultilevel"/>
    <w:tmpl w:val="BDCE0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3"/>
  </w:num>
  <w:num w:numId="3">
    <w:abstractNumId w:val="11"/>
  </w:num>
  <w:num w:numId="4">
    <w:abstractNumId w:val="16"/>
  </w:num>
  <w:num w:numId="5">
    <w:abstractNumId w:val="12"/>
  </w:num>
  <w:num w:numId="6">
    <w:abstractNumId w:val="14"/>
  </w:num>
  <w:num w:numId="7">
    <w:abstractNumId w:val="17"/>
  </w:num>
  <w:num w:numId="8">
    <w:abstractNumId w:val="6"/>
  </w:num>
  <w:num w:numId="9">
    <w:abstractNumId w:val="5"/>
  </w:num>
  <w:num w:numId="10">
    <w:abstractNumId w:val="20"/>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0"/>
  </w:num>
  <w:num w:numId="15">
    <w:abstractNumId w:val="19"/>
  </w:num>
  <w:num w:numId="16">
    <w:abstractNumId w:val="3"/>
  </w:num>
  <w:num w:numId="17">
    <w:abstractNumId w:val="15"/>
  </w:num>
  <w:num w:numId="18">
    <w:abstractNumId w:val="4"/>
  </w:num>
  <w:num w:numId="19">
    <w:abstractNumId w:val="1"/>
  </w:num>
  <w:num w:numId="20">
    <w:abstractNumId w:val="2"/>
  </w:num>
  <w:num w:numId="21">
    <w:abstractNumId w:val="4"/>
    <w:lvlOverride w:ilvl="0">
      <w:startOverride w:val="1"/>
    </w:lvlOverride>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6" w:nlCheck="1" w:checkStyle="1"/>
  <w:activeWritingStyle w:appName="MSWord" w:lang="de-DE" w:vendorID="64" w:dllVersion="0" w:nlCheck="1" w:checkStyle="0"/>
  <w:attachedTemplate r:id="rId1"/>
  <w:stylePaneFormatFilter w:val="3F01"/>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2" fillcolor="white">
      <v:fill color="white" opacity=".5"/>
      <v:stroke weight="1.75pt"/>
    </o:shapedefaults>
  </w:hdrShapeDefaults>
  <w:footnotePr>
    <w:footnote w:id="0"/>
    <w:footnote w:id="1"/>
  </w:footnotePr>
  <w:endnotePr>
    <w:endnote w:id="0"/>
    <w:endnote w:id="1"/>
  </w:endnotePr>
  <w:compat>
    <w:applyBreakingRules/>
  </w:compat>
  <w:rsids>
    <w:rsidRoot w:val="00101B9F"/>
    <w:rsid w:val="0000479A"/>
    <w:rsid w:val="00014D58"/>
    <w:rsid w:val="0001664E"/>
    <w:rsid w:val="00035A53"/>
    <w:rsid w:val="000449B3"/>
    <w:rsid w:val="00075C16"/>
    <w:rsid w:val="00075EC5"/>
    <w:rsid w:val="000A5CE9"/>
    <w:rsid w:val="000C4E5C"/>
    <w:rsid w:val="000D0EB6"/>
    <w:rsid w:val="000D6598"/>
    <w:rsid w:val="00101B9F"/>
    <w:rsid w:val="00105657"/>
    <w:rsid w:val="00135704"/>
    <w:rsid w:val="00144221"/>
    <w:rsid w:val="0014478B"/>
    <w:rsid w:val="00145700"/>
    <w:rsid w:val="001635B6"/>
    <w:rsid w:val="001644F2"/>
    <w:rsid w:val="00167418"/>
    <w:rsid w:val="001726EA"/>
    <w:rsid w:val="00186955"/>
    <w:rsid w:val="001A5710"/>
    <w:rsid w:val="001C7101"/>
    <w:rsid w:val="001D418B"/>
    <w:rsid w:val="00231FBC"/>
    <w:rsid w:val="00250A43"/>
    <w:rsid w:val="00253FD1"/>
    <w:rsid w:val="00261ABA"/>
    <w:rsid w:val="00276035"/>
    <w:rsid w:val="002770C8"/>
    <w:rsid w:val="00285CF2"/>
    <w:rsid w:val="002C150D"/>
    <w:rsid w:val="002F70F4"/>
    <w:rsid w:val="0030092E"/>
    <w:rsid w:val="00303D32"/>
    <w:rsid w:val="00305C17"/>
    <w:rsid w:val="00323387"/>
    <w:rsid w:val="00327C70"/>
    <w:rsid w:val="00337A9A"/>
    <w:rsid w:val="00351BBD"/>
    <w:rsid w:val="003552F9"/>
    <w:rsid w:val="003701FE"/>
    <w:rsid w:val="00377CA2"/>
    <w:rsid w:val="003A3F03"/>
    <w:rsid w:val="003B0C63"/>
    <w:rsid w:val="003C04DD"/>
    <w:rsid w:val="003C7965"/>
    <w:rsid w:val="003E3F8F"/>
    <w:rsid w:val="003E67F8"/>
    <w:rsid w:val="004045B8"/>
    <w:rsid w:val="00411905"/>
    <w:rsid w:val="00417EFB"/>
    <w:rsid w:val="00421B57"/>
    <w:rsid w:val="004240F2"/>
    <w:rsid w:val="004769BA"/>
    <w:rsid w:val="00491D77"/>
    <w:rsid w:val="00494E44"/>
    <w:rsid w:val="004B623E"/>
    <w:rsid w:val="004B768B"/>
    <w:rsid w:val="004C71B8"/>
    <w:rsid w:val="004D7A9C"/>
    <w:rsid w:val="004E1EC5"/>
    <w:rsid w:val="004E3936"/>
    <w:rsid w:val="004F3AB8"/>
    <w:rsid w:val="00523C21"/>
    <w:rsid w:val="00525F56"/>
    <w:rsid w:val="00533535"/>
    <w:rsid w:val="005429A8"/>
    <w:rsid w:val="005531E5"/>
    <w:rsid w:val="00553596"/>
    <w:rsid w:val="00572318"/>
    <w:rsid w:val="00585A42"/>
    <w:rsid w:val="00595B9A"/>
    <w:rsid w:val="005C4213"/>
    <w:rsid w:val="005F12E5"/>
    <w:rsid w:val="0063233B"/>
    <w:rsid w:val="00637C8F"/>
    <w:rsid w:val="006631F4"/>
    <w:rsid w:val="00664CE1"/>
    <w:rsid w:val="006A04AB"/>
    <w:rsid w:val="006A4C6E"/>
    <w:rsid w:val="006C5729"/>
    <w:rsid w:val="006C60E2"/>
    <w:rsid w:val="00703D1A"/>
    <w:rsid w:val="007175C4"/>
    <w:rsid w:val="00721A01"/>
    <w:rsid w:val="00725D8D"/>
    <w:rsid w:val="00735E51"/>
    <w:rsid w:val="00736A41"/>
    <w:rsid w:val="00744676"/>
    <w:rsid w:val="00773140"/>
    <w:rsid w:val="007D68EE"/>
    <w:rsid w:val="007E2170"/>
    <w:rsid w:val="007F36FA"/>
    <w:rsid w:val="00812587"/>
    <w:rsid w:val="00816B79"/>
    <w:rsid w:val="0083537B"/>
    <w:rsid w:val="00836353"/>
    <w:rsid w:val="00872113"/>
    <w:rsid w:val="0089153B"/>
    <w:rsid w:val="008A0CB4"/>
    <w:rsid w:val="008A40F7"/>
    <w:rsid w:val="008B6A17"/>
    <w:rsid w:val="008D0A3E"/>
    <w:rsid w:val="008E4C73"/>
    <w:rsid w:val="008E6440"/>
    <w:rsid w:val="008F0654"/>
    <w:rsid w:val="009023E5"/>
    <w:rsid w:val="00911EAA"/>
    <w:rsid w:val="00933EE4"/>
    <w:rsid w:val="00935B32"/>
    <w:rsid w:val="0096466B"/>
    <w:rsid w:val="00981A83"/>
    <w:rsid w:val="00991B8D"/>
    <w:rsid w:val="009944FA"/>
    <w:rsid w:val="009B0D87"/>
    <w:rsid w:val="009C68A4"/>
    <w:rsid w:val="009E07D7"/>
    <w:rsid w:val="00A13C59"/>
    <w:rsid w:val="00A2543C"/>
    <w:rsid w:val="00A25798"/>
    <w:rsid w:val="00A36AF3"/>
    <w:rsid w:val="00A36DC0"/>
    <w:rsid w:val="00A63081"/>
    <w:rsid w:val="00A80ED5"/>
    <w:rsid w:val="00AB1915"/>
    <w:rsid w:val="00AC13B2"/>
    <w:rsid w:val="00AC332C"/>
    <w:rsid w:val="00AD774F"/>
    <w:rsid w:val="00AF4297"/>
    <w:rsid w:val="00B02E9C"/>
    <w:rsid w:val="00B151E3"/>
    <w:rsid w:val="00B15827"/>
    <w:rsid w:val="00B20161"/>
    <w:rsid w:val="00B2380C"/>
    <w:rsid w:val="00B43C14"/>
    <w:rsid w:val="00B71ACE"/>
    <w:rsid w:val="00B75905"/>
    <w:rsid w:val="00B8749C"/>
    <w:rsid w:val="00BB3E9F"/>
    <w:rsid w:val="00BC01E3"/>
    <w:rsid w:val="00BD06CB"/>
    <w:rsid w:val="00BE09FC"/>
    <w:rsid w:val="00BF401E"/>
    <w:rsid w:val="00C12B18"/>
    <w:rsid w:val="00C56F48"/>
    <w:rsid w:val="00C60039"/>
    <w:rsid w:val="00C75CDF"/>
    <w:rsid w:val="00C84122"/>
    <w:rsid w:val="00C87518"/>
    <w:rsid w:val="00CA16B9"/>
    <w:rsid w:val="00CA23D7"/>
    <w:rsid w:val="00CA5741"/>
    <w:rsid w:val="00D02A3B"/>
    <w:rsid w:val="00D0760C"/>
    <w:rsid w:val="00D1753A"/>
    <w:rsid w:val="00D222DD"/>
    <w:rsid w:val="00D34593"/>
    <w:rsid w:val="00D35747"/>
    <w:rsid w:val="00D358B7"/>
    <w:rsid w:val="00D37B01"/>
    <w:rsid w:val="00D54B1E"/>
    <w:rsid w:val="00D57849"/>
    <w:rsid w:val="00D70F79"/>
    <w:rsid w:val="00D73C01"/>
    <w:rsid w:val="00D81D8C"/>
    <w:rsid w:val="00DB486B"/>
    <w:rsid w:val="00DB5F78"/>
    <w:rsid w:val="00DD1DD6"/>
    <w:rsid w:val="00DE07EF"/>
    <w:rsid w:val="00DE6745"/>
    <w:rsid w:val="00E02F9E"/>
    <w:rsid w:val="00E142DF"/>
    <w:rsid w:val="00E260AF"/>
    <w:rsid w:val="00E30453"/>
    <w:rsid w:val="00E32981"/>
    <w:rsid w:val="00E34266"/>
    <w:rsid w:val="00E84323"/>
    <w:rsid w:val="00EA1BB3"/>
    <w:rsid w:val="00EA4150"/>
    <w:rsid w:val="00EE07B6"/>
    <w:rsid w:val="00F07BB9"/>
    <w:rsid w:val="00F17291"/>
    <w:rsid w:val="00F23E43"/>
    <w:rsid w:val="00F24C55"/>
    <w:rsid w:val="00F251BC"/>
    <w:rsid w:val="00F32C2E"/>
    <w:rsid w:val="00F37663"/>
    <w:rsid w:val="00F53250"/>
    <w:rsid w:val="00F61F45"/>
    <w:rsid w:val="00F70A2D"/>
    <w:rsid w:val="00F75877"/>
    <w:rsid w:val="00F76FDD"/>
    <w:rsid w:val="00F82D54"/>
    <w:rsid w:val="00F866FF"/>
    <w:rsid w:val="00FB1F1E"/>
    <w:rsid w:val="00FB59F7"/>
    <w:rsid w:val="00FC2633"/>
    <w:rsid w:val="00FD0CFE"/>
    <w:rsid w:val="00FD1D89"/>
    <w:rsid w:val="00FF2CD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pacity=".5"/>
      <v:stroke weight="1.7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5704"/>
    <w:pPr>
      <w:spacing w:after="240"/>
    </w:pPr>
    <w:rPr>
      <w:rFonts w:ascii="Arial" w:hAnsi="Arial"/>
      <w:sz w:val="22"/>
    </w:rPr>
  </w:style>
  <w:style w:type="paragraph" w:styleId="berschrift1">
    <w:name w:val="heading 1"/>
    <w:basedOn w:val="Standard"/>
    <w:next w:val="Standard"/>
    <w:qFormat/>
    <w:rsid w:val="00E30453"/>
    <w:pPr>
      <w:keepNext/>
      <w:spacing w:before="120" w:after="120"/>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nterzeichner">
    <w:name w:val="Unterzeichner"/>
    <w:basedOn w:val="Standard"/>
    <w:next w:val="Standard"/>
    <w:rsid w:val="00E30453"/>
    <w:pPr>
      <w:spacing w:line="264" w:lineRule="exact"/>
    </w:pPr>
    <w:rPr>
      <w:kern w:val="22"/>
    </w:rPr>
  </w:style>
  <w:style w:type="paragraph" w:customStyle="1" w:styleId="E1">
    <w:name w:val="E1"/>
    <w:aliases w:val="Einrückung 1. Stufe"/>
    <w:basedOn w:val="Standard"/>
    <w:rsid w:val="0096466B"/>
    <w:pPr>
      <w:tabs>
        <w:tab w:val="right" w:pos="9214"/>
      </w:tabs>
      <w:spacing w:line="264" w:lineRule="exact"/>
      <w:ind w:left="425" w:hanging="425"/>
    </w:pPr>
    <w:rPr>
      <w:kern w:val="16"/>
    </w:rPr>
  </w:style>
  <w:style w:type="paragraph" w:customStyle="1" w:styleId="E2">
    <w:name w:val="E2"/>
    <w:aliases w:val="Einrückung 2. Stufe"/>
    <w:basedOn w:val="E1"/>
    <w:rsid w:val="00E30453"/>
    <w:pPr>
      <w:ind w:left="851"/>
    </w:pPr>
  </w:style>
  <w:style w:type="paragraph" w:customStyle="1" w:styleId="E3">
    <w:name w:val="E3"/>
    <w:aliases w:val="Einrückung 3. Stufe"/>
    <w:basedOn w:val="E1"/>
    <w:rsid w:val="00E30453"/>
    <w:pPr>
      <w:ind w:left="1276"/>
    </w:pPr>
  </w:style>
  <w:style w:type="paragraph" w:styleId="Kopfzeile">
    <w:name w:val="header"/>
    <w:basedOn w:val="Standard"/>
    <w:link w:val="KopfzeileZchn"/>
    <w:uiPriority w:val="99"/>
    <w:rsid w:val="003C7965"/>
    <w:pPr>
      <w:tabs>
        <w:tab w:val="center" w:pos="4536"/>
        <w:tab w:val="right" w:pos="9072"/>
      </w:tabs>
    </w:pPr>
    <w:rPr>
      <w:rFonts w:ascii="Trebuchet MS" w:hAnsi="Trebuchet MS"/>
    </w:rPr>
  </w:style>
  <w:style w:type="paragraph" w:styleId="Fuzeile">
    <w:name w:val="footer"/>
    <w:basedOn w:val="Standard"/>
    <w:link w:val="FuzeileZchn"/>
    <w:uiPriority w:val="99"/>
    <w:rsid w:val="00D73C01"/>
    <w:pPr>
      <w:tabs>
        <w:tab w:val="center" w:pos="4536"/>
        <w:tab w:val="right" w:pos="9072"/>
      </w:tabs>
    </w:pPr>
    <w:rPr>
      <w:rFonts w:ascii="Trebuchet MS" w:hAnsi="Trebuchet MS"/>
    </w:rPr>
  </w:style>
  <w:style w:type="paragraph" w:styleId="Sprechblasentext">
    <w:name w:val="Balloon Text"/>
    <w:basedOn w:val="Standard"/>
    <w:semiHidden/>
    <w:rsid w:val="00D70F79"/>
    <w:rPr>
      <w:rFonts w:ascii="Tahoma" w:hAnsi="Tahoma" w:cs="Tahoma"/>
      <w:sz w:val="16"/>
      <w:szCs w:val="16"/>
    </w:rPr>
  </w:style>
  <w:style w:type="character" w:styleId="Seitenzahl">
    <w:name w:val="page number"/>
    <w:rsid w:val="003C7965"/>
    <w:rPr>
      <w:rFonts w:ascii="Trebuchet MS" w:hAnsi="Trebuchet MS"/>
      <w:sz w:val="22"/>
    </w:rPr>
  </w:style>
  <w:style w:type="character" w:customStyle="1" w:styleId="KopfzeileZchn">
    <w:name w:val="Kopfzeile Zchn"/>
    <w:link w:val="Kopfzeile"/>
    <w:uiPriority w:val="99"/>
    <w:rsid w:val="003C7965"/>
    <w:rPr>
      <w:rFonts w:ascii="Trebuchet MS" w:hAnsi="Trebuchet MS"/>
      <w:sz w:val="22"/>
    </w:rPr>
  </w:style>
  <w:style w:type="paragraph" w:styleId="Endnotentext">
    <w:name w:val="endnote text"/>
    <w:basedOn w:val="Standard"/>
    <w:link w:val="EndnotentextZchn"/>
    <w:uiPriority w:val="99"/>
    <w:semiHidden/>
    <w:unhideWhenUsed/>
    <w:rsid w:val="004D7A9C"/>
    <w:rPr>
      <w:sz w:val="20"/>
    </w:rPr>
  </w:style>
  <w:style w:type="character" w:customStyle="1" w:styleId="EndnotentextZchn">
    <w:name w:val="Endnotentext Zchn"/>
    <w:link w:val="Endnotentext"/>
    <w:uiPriority w:val="99"/>
    <w:semiHidden/>
    <w:rsid w:val="004D7A9C"/>
    <w:rPr>
      <w:rFonts w:ascii="Arial" w:hAnsi="Arial"/>
    </w:rPr>
  </w:style>
  <w:style w:type="character" w:styleId="Endnotenzeichen">
    <w:name w:val="endnote reference"/>
    <w:uiPriority w:val="99"/>
    <w:semiHidden/>
    <w:unhideWhenUsed/>
    <w:rsid w:val="004D7A9C"/>
    <w:rPr>
      <w:vertAlign w:val="superscript"/>
    </w:rPr>
  </w:style>
  <w:style w:type="paragraph" w:styleId="Listenabsatz">
    <w:name w:val="List Paragraph"/>
    <w:basedOn w:val="Standard"/>
    <w:uiPriority w:val="34"/>
    <w:qFormat/>
    <w:rsid w:val="005429A8"/>
    <w:pPr>
      <w:ind w:left="720"/>
      <w:contextualSpacing/>
    </w:pPr>
  </w:style>
  <w:style w:type="paragraph" w:customStyle="1" w:styleId="Einrckung1">
    <w:name w:val="Einrückung1"/>
    <w:basedOn w:val="Listenabsatz"/>
    <w:qFormat/>
    <w:rsid w:val="00F82D54"/>
    <w:pPr>
      <w:numPr>
        <w:numId w:val="17"/>
      </w:numPr>
      <w:spacing w:after="120"/>
      <w:contextualSpacing w:val="0"/>
    </w:pPr>
    <w:rPr>
      <w:rFonts w:ascii="Trebuchet MS" w:eastAsiaTheme="minorEastAsia" w:hAnsi="Trebuchet MS" w:cstheme="minorBidi"/>
      <w:szCs w:val="22"/>
      <w:lang w:eastAsia="zh-CN"/>
    </w:rPr>
  </w:style>
  <w:style w:type="paragraph" w:customStyle="1" w:styleId="Einrckung2">
    <w:name w:val="Einrückung2"/>
    <w:basedOn w:val="Listenabsatz"/>
    <w:link w:val="Einrckung2Zchn"/>
    <w:qFormat/>
    <w:rsid w:val="00F82D54"/>
    <w:pPr>
      <w:numPr>
        <w:ilvl w:val="1"/>
        <w:numId w:val="22"/>
      </w:numPr>
      <w:spacing w:after="80"/>
      <w:ind w:left="1276" w:hanging="425"/>
      <w:contextualSpacing w:val="0"/>
    </w:pPr>
    <w:rPr>
      <w:rFonts w:ascii="Trebuchet MS" w:eastAsiaTheme="minorEastAsia" w:hAnsi="Trebuchet MS" w:cstheme="minorBidi"/>
      <w:szCs w:val="22"/>
      <w:lang w:eastAsia="zh-CN"/>
    </w:rPr>
  </w:style>
  <w:style w:type="paragraph" w:customStyle="1" w:styleId="Abschnitt">
    <w:name w:val="Abschnitt"/>
    <w:basedOn w:val="Listenabsatz"/>
    <w:link w:val="AbschnittZchn"/>
    <w:qFormat/>
    <w:rsid w:val="00F82D54"/>
    <w:pPr>
      <w:keepNext/>
      <w:numPr>
        <w:numId w:val="18"/>
      </w:numPr>
      <w:spacing w:after="120"/>
      <w:ind w:left="425" w:hanging="425"/>
    </w:pPr>
    <w:rPr>
      <w:rFonts w:ascii="Trebuchet MS" w:eastAsiaTheme="minorEastAsia" w:hAnsi="Trebuchet MS" w:cstheme="minorBidi"/>
      <w:b/>
      <w:bCs/>
      <w:szCs w:val="22"/>
      <w:lang w:eastAsia="zh-CN"/>
    </w:rPr>
  </w:style>
  <w:style w:type="character" w:customStyle="1" w:styleId="Einrckung2Zchn">
    <w:name w:val="Einrückung2 Zchn"/>
    <w:basedOn w:val="Absatz-Standardschriftart"/>
    <w:link w:val="Einrckung2"/>
    <w:rsid w:val="00F82D54"/>
    <w:rPr>
      <w:rFonts w:ascii="Trebuchet MS" w:eastAsiaTheme="minorEastAsia" w:hAnsi="Trebuchet MS" w:cstheme="minorBidi"/>
      <w:sz w:val="22"/>
      <w:szCs w:val="22"/>
      <w:lang w:eastAsia="zh-CN"/>
    </w:rPr>
  </w:style>
  <w:style w:type="character" w:customStyle="1" w:styleId="AbschnittZchn">
    <w:name w:val="Abschnitt Zchn"/>
    <w:basedOn w:val="Absatz-Standardschriftart"/>
    <w:link w:val="Abschnitt"/>
    <w:rsid w:val="00F82D54"/>
    <w:rPr>
      <w:rFonts w:ascii="Trebuchet MS" w:eastAsiaTheme="minorEastAsia" w:hAnsi="Trebuchet MS" w:cstheme="minorBidi"/>
      <w:b/>
      <w:bCs/>
      <w:sz w:val="22"/>
      <w:szCs w:val="22"/>
      <w:lang w:eastAsia="zh-CN"/>
    </w:rPr>
  </w:style>
  <w:style w:type="paragraph" w:styleId="Funotentext">
    <w:name w:val="footnote text"/>
    <w:basedOn w:val="Standard"/>
    <w:link w:val="FunotentextZchn"/>
    <w:uiPriority w:val="99"/>
    <w:unhideWhenUsed/>
    <w:rsid w:val="00F82D54"/>
    <w:pPr>
      <w:spacing w:after="0"/>
    </w:pPr>
    <w:rPr>
      <w:sz w:val="20"/>
    </w:rPr>
  </w:style>
  <w:style w:type="character" w:customStyle="1" w:styleId="FunotentextZchn">
    <w:name w:val="Fußnotentext Zchn"/>
    <w:basedOn w:val="Absatz-Standardschriftart"/>
    <w:link w:val="Funotentext"/>
    <w:uiPriority w:val="99"/>
    <w:rsid w:val="00F82D54"/>
    <w:rPr>
      <w:rFonts w:ascii="Arial" w:hAnsi="Arial"/>
    </w:rPr>
  </w:style>
  <w:style w:type="character" w:styleId="Funotenzeichen">
    <w:name w:val="footnote reference"/>
    <w:basedOn w:val="Absatz-Standardschriftart"/>
    <w:uiPriority w:val="99"/>
    <w:semiHidden/>
    <w:unhideWhenUsed/>
    <w:rsid w:val="00F82D54"/>
    <w:rPr>
      <w:vertAlign w:val="superscript"/>
    </w:rPr>
  </w:style>
  <w:style w:type="paragraph" w:customStyle="1" w:styleId="Funote">
    <w:name w:val="Fußnote"/>
    <w:basedOn w:val="Funotentext"/>
    <w:link w:val="FunoteZchn"/>
    <w:qFormat/>
    <w:rsid w:val="00F82D54"/>
    <w:pPr>
      <w:tabs>
        <w:tab w:val="left" w:pos="284"/>
      </w:tabs>
      <w:ind w:left="284" w:hanging="284"/>
    </w:pPr>
  </w:style>
  <w:style w:type="character" w:customStyle="1" w:styleId="FuzeileZchn">
    <w:name w:val="Fußzeile Zchn"/>
    <w:basedOn w:val="Absatz-Standardschriftart"/>
    <w:link w:val="Fuzeile"/>
    <w:uiPriority w:val="99"/>
    <w:rsid w:val="00F82D54"/>
    <w:rPr>
      <w:rFonts w:ascii="Trebuchet MS" w:hAnsi="Trebuchet MS"/>
      <w:sz w:val="22"/>
    </w:rPr>
  </w:style>
  <w:style w:type="character" w:customStyle="1" w:styleId="FunoteZchn">
    <w:name w:val="Fußnote Zchn"/>
    <w:basedOn w:val="FunotentextZchn"/>
    <w:link w:val="Funote"/>
    <w:rsid w:val="00F82D54"/>
    <w:rPr>
      <w:rFonts w:ascii="Arial" w:hAnsi="Arial"/>
    </w:rPr>
  </w:style>
  <w:style w:type="paragraph" w:customStyle="1" w:styleId="Handlungsfeld">
    <w:name w:val="Handlungsfeld"/>
    <w:basedOn w:val="Abschnitt"/>
    <w:link w:val="HandlungsfeldZchn"/>
    <w:qFormat/>
    <w:rsid w:val="00F82D54"/>
    <w:pPr>
      <w:spacing w:before="360"/>
    </w:pPr>
  </w:style>
  <w:style w:type="paragraph" w:customStyle="1" w:styleId="These">
    <w:name w:val="These"/>
    <w:basedOn w:val="Einrckung1"/>
    <w:link w:val="TheseZchn"/>
    <w:qFormat/>
    <w:rsid w:val="00F82D54"/>
    <w:pPr>
      <w:ind w:left="851" w:hanging="425"/>
    </w:pPr>
  </w:style>
  <w:style w:type="character" w:customStyle="1" w:styleId="HandlungsfeldZchn">
    <w:name w:val="Handlungsfeld Zchn"/>
    <w:basedOn w:val="AbschnittZchn"/>
    <w:link w:val="Handlungsfeld"/>
    <w:rsid w:val="00F82D54"/>
    <w:rPr>
      <w:rFonts w:ascii="Trebuchet MS" w:eastAsiaTheme="minorEastAsia" w:hAnsi="Trebuchet MS" w:cstheme="minorBidi"/>
      <w:b/>
      <w:bCs/>
      <w:sz w:val="22"/>
      <w:szCs w:val="22"/>
      <w:lang w:eastAsia="zh-CN"/>
    </w:rPr>
  </w:style>
  <w:style w:type="character" w:customStyle="1" w:styleId="TheseZchn">
    <w:name w:val="These Zchn"/>
    <w:basedOn w:val="Absatz-Standardschriftart"/>
    <w:link w:val="These"/>
    <w:rsid w:val="00F82D54"/>
    <w:rPr>
      <w:rFonts w:ascii="Trebuchet MS" w:eastAsiaTheme="minorEastAsia" w:hAnsi="Trebuchet MS" w:cstheme="minorBidi"/>
      <w:sz w:val="22"/>
      <w:szCs w:val="22"/>
      <w:lang w:eastAsia="zh-CN"/>
    </w:rPr>
  </w:style>
  <w:style w:type="character" w:styleId="Kommentarzeichen">
    <w:name w:val="annotation reference"/>
    <w:basedOn w:val="Absatz-Standardschriftart"/>
    <w:uiPriority w:val="99"/>
    <w:semiHidden/>
    <w:unhideWhenUsed/>
    <w:rsid w:val="00250A43"/>
    <w:rPr>
      <w:sz w:val="16"/>
      <w:szCs w:val="16"/>
    </w:rPr>
  </w:style>
  <w:style w:type="paragraph" w:styleId="Kommentartext">
    <w:name w:val="annotation text"/>
    <w:basedOn w:val="Standard"/>
    <w:link w:val="KommentartextZchn"/>
    <w:uiPriority w:val="99"/>
    <w:unhideWhenUsed/>
    <w:rsid w:val="00250A43"/>
    <w:rPr>
      <w:sz w:val="20"/>
    </w:rPr>
  </w:style>
  <w:style w:type="character" w:customStyle="1" w:styleId="KommentartextZchn">
    <w:name w:val="Kommentartext Zchn"/>
    <w:basedOn w:val="Absatz-Standardschriftart"/>
    <w:link w:val="Kommentartext"/>
    <w:uiPriority w:val="99"/>
    <w:rsid w:val="00250A43"/>
    <w:rPr>
      <w:rFonts w:ascii="Arial" w:hAnsi="Arial"/>
    </w:rPr>
  </w:style>
  <w:style w:type="paragraph" w:styleId="Kommentarthema">
    <w:name w:val="annotation subject"/>
    <w:basedOn w:val="Kommentartext"/>
    <w:next w:val="Kommentartext"/>
    <w:link w:val="KommentarthemaZchn"/>
    <w:uiPriority w:val="99"/>
    <w:semiHidden/>
    <w:unhideWhenUsed/>
    <w:rsid w:val="00250A43"/>
    <w:rPr>
      <w:b/>
      <w:bCs/>
    </w:rPr>
  </w:style>
  <w:style w:type="character" w:customStyle="1" w:styleId="KommentarthemaZchn">
    <w:name w:val="Kommentarthema Zchn"/>
    <w:basedOn w:val="KommentartextZchn"/>
    <w:link w:val="Kommentarthema"/>
    <w:uiPriority w:val="99"/>
    <w:semiHidden/>
    <w:rsid w:val="00250A43"/>
    <w:rPr>
      <w:rFonts w:ascii="Arial" w:hAnsi="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Schreibdienst\Vorlagen\Kollegiumsvorlage%202020.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C9F4-92E9-4E7D-9A40-55BD39C1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Kollegiumsvorlage 2020</Template>
  <TotalTime>0</TotalTime>
  <Pages>9</Pages>
  <Words>3377</Words>
  <Characters>21279</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Vorlage zur Kollegiums-Sitzung am</vt:lpstr>
    </vt:vector>
  </TitlesOfParts>
  <Company>EOK</Company>
  <LinksUpToDate>false</LinksUpToDate>
  <CharactersWithSpaces>24607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zur Kollegiums-Sitzung am</dc:title>
  <dc:creator>Matthias Kreplin</dc:creator>
  <cp:lastModifiedBy>Home-F</cp:lastModifiedBy>
  <cp:revision>2</cp:revision>
  <cp:lastPrinted>2016-08-17T14:27:00Z</cp:lastPrinted>
  <dcterms:created xsi:type="dcterms:W3CDTF">2022-02-11T18:29:00Z</dcterms:created>
  <dcterms:modified xsi:type="dcterms:W3CDTF">2022-02-11T18:29:00Z</dcterms:modified>
</cp:coreProperties>
</file>